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12" w:rsidRPr="00C03CC3" w:rsidRDefault="00C03CC3">
      <w:pPr>
        <w:rPr>
          <w:rFonts w:ascii="Arial" w:hAnsi="Arial" w:cs="Arial"/>
        </w:rPr>
      </w:pPr>
      <w:r w:rsidRPr="00C03CC3">
        <w:rPr>
          <w:rFonts w:ascii="Arial" w:hAnsi="Arial" w:cs="Arial"/>
        </w:rPr>
        <w:t>Guidance notes of</w:t>
      </w:r>
    </w:p>
    <w:p w:rsidR="00C03CC3" w:rsidRPr="00C03CC3" w:rsidRDefault="00C03CC3">
      <w:pPr>
        <w:rPr>
          <w:rFonts w:ascii="Arial" w:hAnsi="Arial" w:cs="Arial"/>
          <w:sz w:val="16"/>
          <w:szCs w:val="16"/>
        </w:rPr>
      </w:pPr>
    </w:p>
    <w:p w:rsidR="00723365" w:rsidRPr="00C03CC3" w:rsidRDefault="00723365" w:rsidP="00723365">
      <w:pPr>
        <w:rPr>
          <w:rFonts w:ascii="Arial" w:hAnsi="Arial" w:cs="Arial"/>
          <w:sz w:val="16"/>
          <w:szCs w:val="16"/>
        </w:rPr>
      </w:pPr>
    </w:p>
    <w:p w:rsidR="00723365" w:rsidRDefault="008923A1" w:rsidP="00723365">
      <w:pPr>
        <w:pStyle w:val="Body"/>
        <w:jc w:val="left"/>
        <w:rPr>
          <w:rFonts w:ascii="Arial" w:hAnsi="Arial" w:cs="Arial"/>
          <w:b/>
          <w:sz w:val="22"/>
          <w:szCs w:val="22"/>
        </w:rPr>
      </w:pPr>
      <w:hyperlink r:id="rId7" w:history="1">
        <w:r w:rsidR="00723365" w:rsidRPr="009147A1">
          <w:rPr>
            <w:rStyle w:val="Hyperlink"/>
            <w:rFonts w:ascii="Arial" w:hAnsi="Arial" w:cs="Arial"/>
            <w:b/>
            <w:sz w:val="22"/>
            <w:szCs w:val="22"/>
          </w:rPr>
          <w:t xml:space="preserve">STANDARD TERMS AND CONDITIONS FOR THE PURCHASE OF </w:t>
        </w:r>
        <w:r w:rsidR="00723365">
          <w:rPr>
            <w:rStyle w:val="Hyperlink"/>
            <w:rFonts w:ascii="Arial" w:hAnsi="Arial" w:cs="Arial"/>
            <w:b/>
            <w:sz w:val="22"/>
            <w:szCs w:val="22"/>
          </w:rPr>
          <w:t>CONSULTANCY (SHORT FORM)</w:t>
        </w:r>
      </w:hyperlink>
    </w:p>
    <w:p w:rsidR="00723365" w:rsidRPr="005E4275" w:rsidRDefault="00475912" w:rsidP="00723365">
      <w:pPr>
        <w:rPr>
          <w:rFonts w:ascii="Arial" w:hAnsi="Arial" w:cs="Arial"/>
          <w:color w:val="365F91" w:themeColor="accent1" w:themeShade="BF"/>
          <w:u w:val="single"/>
        </w:rPr>
      </w:pPr>
      <w:r w:rsidRPr="00475912">
        <w:rPr>
          <w:rFonts w:ascii="Arial" w:hAnsi="Arial" w:cs="Arial"/>
        </w:rPr>
        <w:t xml:space="preserve">The </w:t>
      </w:r>
      <w:r>
        <w:rPr>
          <w:rFonts w:ascii="Arial" w:hAnsi="Arial" w:cs="Arial"/>
        </w:rPr>
        <w:t xml:space="preserve">Terms and Conditions </w:t>
      </w:r>
      <w:r w:rsidR="008D0A09">
        <w:rPr>
          <w:rFonts w:ascii="Arial" w:hAnsi="Arial" w:cs="Arial"/>
        </w:rPr>
        <w:t xml:space="preserve">(T&amp;Cs) </w:t>
      </w:r>
      <w:r>
        <w:rPr>
          <w:rFonts w:ascii="Arial" w:hAnsi="Arial" w:cs="Arial"/>
        </w:rPr>
        <w:t>are de</w:t>
      </w:r>
      <w:r w:rsidR="008E4447">
        <w:rPr>
          <w:rFonts w:ascii="Arial" w:hAnsi="Arial" w:cs="Arial"/>
        </w:rPr>
        <w:t xml:space="preserve">signed to offer both a generic </w:t>
      </w:r>
      <w:r>
        <w:rPr>
          <w:rFonts w:ascii="Arial" w:hAnsi="Arial" w:cs="Arial"/>
        </w:rPr>
        <w:t xml:space="preserve">option </w:t>
      </w:r>
      <w:r w:rsidR="00A363CE">
        <w:rPr>
          <w:rFonts w:ascii="Arial" w:hAnsi="Arial" w:cs="Arial"/>
        </w:rPr>
        <w:t>and</w:t>
      </w:r>
      <w:r>
        <w:rPr>
          <w:rFonts w:ascii="Arial" w:hAnsi="Arial" w:cs="Arial"/>
        </w:rPr>
        <w:t xml:space="preserve"> opportunities for the user to add specific requirements. This guidance is intended to assist key personnel to consider where specific clauses may be needed</w:t>
      </w:r>
      <w:r w:rsidR="008E4447">
        <w:rPr>
          <w:rFonts w:ascii="Arial" w:hAnsi="Arial" w:cs="Arial"/>
        </w:rPr>
        <w:t>/adapted</w:t>
      </w:r>
      <w:r>
        <w:rPr>
          <w:rFonts w:ascii="Arial" w:hAnsi="Arial" w:cs="Arial"/>
        </w:rPr>
        <w:t>.</w:t>
      </w:r>
      <w:r w:rsidR="005E4275">
        <w:rPr>
          <w:rFonts w:ascii="Arial" w:hAnsi="Arial" w:cs="Arial"/>
        </w:rPr>
        <w:t xml:space="preserve"> Please read in conjunction with </w:t>
      </w:r>
      <w:r w:rsidR="0049642A">
        <w:rPr>
          <w:rFonts w:ascii="Arial" w:hAnsi="Arial" w:cs="Arial"/>
        </w:rPr>
        <w:t>the f</w:t>
      </w:r>
      <w:r w:rsidR="005E4275" w:rsidRPr="005E4275">
        <w:rPr>
          <w:rFonts w:ascii="Arial" w:hAnsi="Arial" w:cs="Arial"/>
        </w:rPr>
        <w:t>low</w:t>
      </w:r>
      <w:r w:rsidR="008E4447">
        <w:rPr>
          <w:rFonts w:ascii="Arial" w:hAnsi="Arial" w:cs="Arial"/>
        </w:rPr>
        <w:t xml:space="preserve">chart: </w:t>
      </w:r>
      <w:hyperlink r:id="rId8" w:history="1">
        <w:r w:rsidR="00723365" w:rsidRPr="00E87E1F">
          <w:rPr>
            <w:rStyle w:val="Hyperlink"/>
            <w:rFonts w:ascii="Arial" w:hAnsi="Arial" w:cs="Arial"/>
          </w:rPr>
          <w:t>Establishing which Terms and Conditions to use when Tendering/Procuring Goods and/or Services</w:t>
        </w:r>
      </w:hyperlink>
      <w:r w:rsidR="00723365">
        <w:rPr>
          <w:rFonts w:ascii="Arial" w:hAnsi="Arial" w:cs="Arial"/>
          <w:color w:val="365F91" w:themeColor="accent1" w:themeShade="BF"/>
          <w:u w:val="single"/>
        </w:rPr>
        <w:t xml:space="preserve"> </w:t>
      </w:r>
    </w:p>
    <w:p w:rsidR="00676130" w:rsidRPr="007A4331" w:rsidRDefault="00676130" w:rsidP="00475912">
      <w:pPr>
        <w:rPr>
          <w:rFonts w:ascii="Arial" w:hAnsi="Arial" w:cs="Arial"/>
          <w:sz w:val="16"/>
          <w:szCs w:val="16"/>
        </w:rPr>
      </w:pPr>
    </w:p>
    <w:p w:rsidR="00804210" w:rsidRPr="007A4331" w:rsidRDefault="009811E9" w:rsidP="00A363CE">
      <w:pPr>
        <w:rPr>
          <w:rFonts w:ascii="Arial" w:hAnsi="Arial" w:cs="Arial"/>
          <w:sz w:val="16"/>
          <w:szCs w:val="16"/>
        </w:rPr>
      </w:pPr>
      <w:r>
        <w:rPr>
          <w:rFonts w:ascii="Arial" w:hAnsi="Arial" w:cs="Arial"/>
        </w:rPr>
        <w:t xml:space="preserve">Please read the T&amp;Cs carefully.  </w:t>
      </w:r>
      <w:r w:rsidR="00A363CE">
        <w:rPr>
          <w:rFonts w:ascii="Arial" w:hAnsi="Arial" w:cs="Arial"/>
        </w:rPr>
        <w:t>You should work th</w:t>
      </w:r>
      <w:r>
        <w:rPr>
          <w:rFonts w:ascii="Arial" w:hAnsi="Arial" w:cs="Arial"/>
        </w:rPr>
        <w:t>r</w:t>
      </w:r>
      <w:r w:rsidR="00A363CE">
        <w:rPr>
          <w:rFonts w:ascii="Arial" w:hAnsi="Arial" w:cs="Arial"/>
        </w:rPr>
        <w:t xml:space="preserve">ough each of the sections below – editing as per the requirements of the contract. </w:t>
      </w:r>
      <w:r w:rsidR="00F277A3">
        <w:rPr>
          <w:rFonts w:ascii="Arial" w:hAnsi="Arial" w:cs="Arial"/>
        </w:rPr>
        <w:t>Please ensure that you c</w:t>
      </w:r>
      <w:r w:rsidR="00F277A3" w:rsidRPr="004F5BC6">
        <w:rPr>
          <w:rFonts w:ascii="Arial" w:hAnsi="Arial" w:cs="Arial"/>
        </w:rPr>
        <w:t>heck consequential numbering following any deletions</w:t>
      </w:r>
      <w:r w:rsidR="00F277A3">
        <w:rPr>
          <w:rFonts w:ascii="Arial" w:hAnsi="Arial" w:cs="Arial"/>
        </w:rPr>
        <w:t>/additions</w:t>
      </w:r>
      <w:r w:rsidR="00A363CE">
        <w:rPr>
          <w:rFonts w:ascii="Arial" w:hAnsi="Arial" w:cs="Arial"/>
        </w:rPr>
        <w:t>. Where options are included - in these brackets [</w:t>
      </w:r>
      <w:r w:rsidR="00881176">
        <w:rPr>
          <w:rFonts w:ascii="Arial" w:hAnsi="Arial" w:cs="Arial"/>
        </w:rPr>
        <w:t xml:space="preserve"> </w:t>
      </w:r>
      <w:r w:rsidR="00A363CE">
        <w:rPr>
          <w:rFonts w:ascii="Arial" w:hAnsi="Arial" w:cs="Arial"/>
        </w:rPr>
        <w:t xml:space="preserve"> </w:t>
      </w:r>
      <w:r w:rsidR="00014F76">
        <w:rPr>
          <w:rFonts w:ascii="Arial" w:hAnsi="Arial" w:cs="Arial"/>
        </w:rPr>
        <w:t>] -</w:t>
      </w:r>
      <w:r w:rsidR="00A363CE">
        <w:rPr>
          <w:rFonts w:ascii="Arial" w:hAnsi="Arial" w:cs="Arial"/>
        </w:rPr>
        <w:t xml:space="preserve"> the user will be required to consider if the clause is necessary and input/delete if required.  </w:t>
      </w:r>
      <w:r w:rsidR="00881176">
        <w:rPr>
          <w:rFonts w:ascii="Arial" w:hAnsi="Arial" w:cs="Arial"/>
        </w:rPr>
        <w:t xml:space="preserve">Items highlighted </w:t>
      </w:r>
      <w:r w:rsidR="00881176" w:rsidRPr="009811E9">
        <w:rPr>
          <w:rFonts w:ascii="Arial" w:hAnsi="Arial" w:cs="Arial"/>
          <w:b/>
          <w:highlight w:val="yellow"/>
        </w:rPr>
        <w:t>[  ]</w:t>
      </w:r>
      <w:r w:rsidR="00881176">
        <w:rPr>
          <w:rFonts w:ascii="Arial" w:hAnsi="Arial" w:cs="Arial"/>
        </w:rPr>
        <w:t xml:space="preserve"> require input. </w:t>
      </w:r>
      <w:r w:rsidR="00A363CE" w:rsidRPr="00881176">
        <w:rPr>
          <w:rFonts w:ascii="Arial" w:hAnsi="Arial" w:cs="Arial"/>
          <w:u w:val="single"/>
        </w:rPr>
        <w:t xml:space="preserve">Any changes to clauses should be agreed in collaboration with </w:t>
      </w:r>
      <w:hyperlink r:id="rId9" w:history="1">
        <w:r w:rsidR="00723365" w:rsidRPr="00DD4FBE">
          <w:rPr>
            <w:rStyle w:val="Hyperlink"/>
            <w:rFonts w:ascii="Arial" w:hAnsi="Arial" w:cs="Arial"/>
          </w:rPr>
          <w:t>Procurement Services</w:t>
        </w:r>
      </w:hyperlink>
      <w:r w:rsidR="00723365">
        <w:rPr>
          <w:rFonts w:ascii="Arial" w:hAnsi="Arial" w:cs="Arial"/>
        </w:rPr>
        <w:t>.</w:t>
      </w:r>
    </w:p>
    <w:p w:rsidR="00804210" w:rsidRDefault="00804210" w:rsidP="00A363CE">
      <w:pPr>
        <w:rPr>
          <w:rFonts w:ascii="Arial" w:hAnsi="Arial" w:cs="Arial"/>
        </w:rPr>
      </w:pPr>
    </w:p>
    <w:p w:rsidR="00804210" w:rsidRPr="008B26AB" w:rsidRDefault="008B26AB" w:rsidP="008B26AB">
      <w:pPr>
        <w:rPr>
          <w:rFonts w:ascii="Arial" w:hAnsi="Arial" w:cs="Arial"/>
          <w:b/>
        </w:rPr>
      </w:pPr>
      <w:r w:rsidRPr="008B26AB">
        <w:rPr>
          <w:rFonts w:ascii="Arial" w:hAnsi="Arial" w:cs="Arial"/>
          <w:b/>
        </w:rPr>
        <w:t xml:space="preserve">These </w:t>
      </w:r>
      <w:r w:rsidR="00804210" w:rsidRPr="008B26AB">
        <w:rPr>
          <w:rFonts w:ascii="Arial" w:hAnsi="Arial" w:cs="Arial"/>
          <w:b/>
        </w:rPr>
        <w:t xml:space="preserve">T&amp;Cs </w:t>
      </w:r>
      <w:r w:rsidRPr="008B26AB">
        <w:rPr>
          <w:rFonts w:ascii="Arial" w:hAnsi="Arial" w:cs="Arial"/>
          <w:b/>
        </w:rPr>
        <w:t>are f</w:t>
      </w:r>
      <w:r w:rsidR="00804210" w:rsidRPr="008B26AB">
        <w:rPr>
          <w:rFonts w:ascii="Arial" w:hAnsi="Arial" w:cs="Arial"/>
          <w:b/>
        </w:rPr>
        <w:t>or use where the consultant is an individual and the services are relatively low value/low risk.</w:t>
      </w:r>
    </w:p>
    <w:p w:rsidR="00475912" w:rsidRPr="00745292" w:rsidRDefault="00475912" w:rsidP="00745292">
      <w:pPr>
        <w:pStyle w:val="Body"/>
        <w:spacing w:after="0"/>
        <w:jc w:val="left"/>
        <w:rPr>
          <w:rFonts w:ascii="Arial" w:hAnsi="Arial" w:cs="Arial"/>
          <w:b/>
          <w:sz w:val="16"/>
          <w:szCs w:val="16"/>
        </w:rPr>
      </w:pPr>
    </w:p>
    <w:tbl>
      <w:tblPr>
        <w:tblStyle w:val="TableGrid"/>
        <w:tblW w:w="0" w:type="auto"/>
        <w:shd w:val="clear" w:color="auto" w:fill="BFBFBF" w:themeFill="background1" w:themeFillShade="BF"/>
        <w:tblLook w:val="04A0" w:firstRow="1" w:lastRow="0" w:firstColumn="1" w:lastColumn="0" w:noHBand="0" w:noVBand="1"/>
      </w:tblPr>
      <w:tblGrid>
        <w:gridCol w:w="3085"/>
        <w:gridCol w:w="6769"/>
      </w:tblGrid>
      <w:tr w:rsidR="00A20E1E" w:rsidRPr="00C70515" w:rsidTr="008D0A09">
        <w:tc>
          <w:tcPr>
            <w:tcW w:w="3085" w:type="dxa"/>
            <w:shd w:val="clear" w:color="auto" w:fill="BFBFBF" w:themeFill="background1" w:themeFillShade="BF"/>
          </w:tcPr>
          <w:p w:rsidR="00A20E1E" w:rsidRPr="00C70515" w:rsidRDefault="00A20E1E">
            <w:pPr>
              <w:rPr>
                <w:b/>
                <w:sz w:val="24"/>
                <w:szCs w:val="24"/>
              </w:rPr>
            </w:pPr>
            <w:r w:rsidRPr="00C70515">
              <w:rPr>
                <w:b/>
                <w:sz w:val="24"/>
                <w:szCs w:val="24"/>
              </w:rPr>
              <w:t>Section</w:t>
            </w:r>
          </w:p>
        </w:tc>
        <w:tc>
          <w:tcPr>
            <w:tcW w:w="6769" w:type="dxa"/>
            <w:shd w:val="clear" w:color="auto" w:fill="BFBFBF" w:themeFill="background1" w:themeFillShade="BF"/>
          </w:tcPr>
          <w:p w:rsidR="00A20E1E" w:rsidRPr="00C70515" w:rsidRDefault="00A20E1E">
            <w:pPr>
              <w:rPr>
                <w:b/>
                <w:sz w:val="24"/>
                <w:szCs w:val="24"/>
              </w:rPr>
            </w:pPr>
            <w:r w:rsidRPr="00C70515">
              <w:rPr>
                <w:b/>
                <w:sz w:val="24"/>
                <w:szCs w:val="24"/>
              </w:rPr>
              <w:t>Guidance</w:t>
            </w:r>
          </w:p>
        </w:tc>
      </w:tr>
    </w:tbl>
    <w:p w:rsidR="00C03CC3" w:rsidRDefault="00C03CC3"/>
    <w:tbl>
      <w:tblPr>
        <w:tblStyle w:val="TableGrid"/>
        <w:tblW w:w="0" w:type="auto"/>
        <w:tblLook w:val="04A0" w:firstRow="1" w:lastRow="0" w:firstColumn="1" w:lastColumn="0" w:noHBand="0" w:noVBand="1"/>
      </w:tblPr>
      <w:tblGrid>
        <w:gridCol w:w="2943"/>
        <w:gridCol w:w="6911"/>
      </w:tblGrid>
      <w:tr w:rsidR="00A20E1E" w:rsidRPr="008D0A09" w:rsidTr="007A4331">
        <w:tc>
          <w:tcPr>
            <w:tcW w:w="2943" w:type="dxa"/>
          </w:tcPr>
          <w:p w:rsidR="00A20E1E" w:rsidRPr="008D0A09" w:rsidRDefault="00676130" w:rsidP="00676130">
            <w:pPr>
              <w:jc w:val="left"/>
              <w:rPr>
                <w:rFonts w:ascii="Arial" w:hAnsi="Arial" w:cs="Arial"/>
              </w:rPr>
            </w:pPr>
            <w:r w:rsidRPr="008D0A09">
              <w:rPr>
                <w:rStyle w:val="Level1asHeadingtext"/>
                <w:rFonts w:ascii="Arial" w:hAnsi="Arial" w:cs="Arial"/>
              </w:rPr>
              <w:t>1. Definitions and Interpretation</w:t>
            </w:r>
          </w:p>
        </w:tc>
        <w:tc>
          <w:tcPr>
            <w:tcW w:w="6911" w:type="dxa"/>
          </w:tcPr>
          <w:p w:rsidR="00A20E1E" w:rsidRPr="008D0A09" w:rsidRDefault="008D0A09" w:rsidP="0049642A">
            <w:pPr>
              <w:rPr>
                <w:rFonts w:ascii="Arial" w:hAnsi="Arial" w:cs="Arial"/>
              </w:rPr>
            </w:pPr>
            <w:r w:rsidRPr="008D0A09">
              <w:rPr>
                <w:rFonts w:ascii="Arial" w:hAnsi="Arial" w:cs="Arial"/>
              </w:rPr>
              <w:t xml:space="preserve">The ‘words and expressions’ included here </w:t>
            </w:r>
            <w:r w:rsidR="0049642A">
              <w:rPr>
                <w:rFonts w:ascii="Arial" w:hAnsi="Arial" w:cs="Arial"/>
              </w:rPr>
              <w:t>should</w:t>
            </w:r>
            <w:r w:rsidRPr="008D0A09">
              <w:rPr>
                <w:rFonts w:ascii="Arial" w:hAnsi="Arial" w:cs="Arial"/>
              </w:rPr>
              <w:t xml:space="preserve"> relate to the final T&amp;Cs</w:t>
            </w:r>
            <w:r>
              <w:rPr>
                <w:rFonts w:ascii="Arial" w:hAnsi="Arial" w:cs="Arial"/>
              </w:rPr>
              <w:t xml:space="preserve">. Additional </w:t>
            </w:r>
            <w:r w:rsidRPr="008D0A09">
              <w:rPr>
                <w:rFonts w:ascii="Arial" w:hAnsi="Arial" w:cs="Arial"/>
              </w:rPr>
              <w:t>‘words and expressions’</w:t>
            </w:r>
            <w:r>
              <w:rPr>
                <w:rFonts w:ascii="Arial" w:hAnsi="Arial" w:cs="Arial"/>
              </w:rPr>
              <w:t xml:space="preserve"> may be needed if any bespoke/unique clauses are required.</w:t>
            </w:r>
            <w:r w:rsidR="004F5BC6">
              <w:rPr>
                <w:rFonts w:ascii="Arial" w:hAnsi="Arial" w:cs="Arial"/>
              </w:rPr>
              <w:t xml:space="preserve"> C</w:t>
            </w:r>
            <w:r w:rsidR="004F5BC6" w:rsidRPr="004F5BC6">
              <w:rPr>
                <w:rFonts w:ascii="Arial" w:hAnsi="Arial" w:cs="Arial"/>
              </w:rPr>
              <w:t>heck consequential numbering following any deletions</w:t>
            </w:r>
            <w:r w:rsidR="004F5BC6">
              <w:rPr>
                <w:rFonts w:ascii="Arial" w:hAnsi="Arial" w:cs="Arial"/>
              </w:rPr>
              <w:t>/additions</w:t>
            </w:r>
            <w:r w:rsidR="00F277A3">
              <w:rPr>
                <w:rFonts w:ascii="Arial" w:hAnsi="Arial" w:cs="Arial"/>
              </w:rPr>
              <w:t>:</w:t>
            </w:r>
          </w:p>
        </w:tc>
      </w:tr>
      <w:tr w:rsidR="00F277A3" w:rsidRPr="008D0A09" w:rsidTr="007A4331">
        <w:tc>
          <w:tcPr>
            <w:tcW w:w="2943" w:type="dxa"/>
          </w:tcPr>
          <w:p w:rsidR="00F277A3" w:rsidRDefault="00F277A3" w:rsidP="0016086C">
            <w:pPr>
              <w:jc w:val="left"/>
              <w:rPr>
                <w:rStyle w:val="Level1asHeadingtext"/>
                <w:rFonts w:ascii="Arial" w:hAnsi="Arial" w:cs="Arial"/>
              </w:rPr>
            </w:pPr>
          </w:p>
        </w:tc>
        <w:tc>
          <w:tcPr>
            <w:tcW w:w="6911" w:type="dxa"/>
          </w:tcPr>
          <w:p w:rsidR="00F277A3" w:rsidRDefault="00F277A3" w:rsidP="00F277A3">
            <w:pPr>
              <w:rPr>
                <w:rFonts w:ascii="Arial" w:hAnsi="Arial" w:cs="Arial"/>
              </w:rPr>
            </w:pPr>
            <w:r>
              <w:rPr>
                <w:rStyle w:val="Level1asHeadingtext"/>
                <w:rFonts w:ascii="Arial" w:hAnsi="Arial" w:cs="Arial"/>
              </w:rPr>
              <w:t xml:space="preserve">“University Group” - </w:t>
            </w:r>
            <w:r w:rsidRPr="00F277A3">
              <w:rPr>
                <w:rFonts w:ascii="Arial" w:eastAsia="Calibri" w:hAnsi="Arial" w:cs="Arial"/>
              </w:rPr>
              <w:t xml:space="preserve">can be defined in </w:t>
            </w:r>
            <w:r>
              <w:rPr>
                <w:rFonts w:ascii="Arial" w:hAnsi="Arial" w:cs="Arial"/>
              </w:rPr>
              <w:t>a further schedule</w:t>
            </w:r>
            <w:r w:rsidRPr="00F277A3">
              <w:rPr>
                <w:rFonts w:ascii="Arial" w:eastAsia="Calibri" w:hAnsi="Arial" w:cs="Arial"/>
              </w:rPr>
              <w:t xml:space="preserve"> </w:t>
            </w:r>
            <w:r>
              <w:rPr>
                <w:rFonts w:ascii="Arial" w:hAnsi="Arial" w:cs="Arial"/>
              </w:rPr>
              <w:t xml:space="preserve">if required </w:t>
            </w:r>
            <w:r w:rsidRPr="00F277A3">
              <w:rPr>
                <w:rFonts w:ascii="Arial" w:eastAsia="Calibri" w:hAnsi="Arial" w:cs="Arial"/>
              </w:rPr>
              <w:t>– consider including PCMD and INTO expressly if they need to be covered by the Services</w:t>
            </w:r>
            <w:r w:rsidR="00817721">
              <w:rPr>
                <w:rFonts w:ascii="Arial" w:eastAsia="Calibri" w:hAnsi="Arial" w:cs="Arial"/>
              </w:rPr>
              <w:t xml:space="preserve">. </w:t>
            </w:r>
            <w:r w:rsidR="00817721" w:rsidRPr="00817721">
              <w:rPr>
                <w:rFonts w:ascii="Arial" w:eastAsia="Calibri" w:hAnsi="Arial" w:cs="Arial"/>
              </w:rPr>
              <w:t xml:space="preserve">Alternatively this can be defined in </w:t>
            </w:r>
            <w:r w:rsidR="00817721">
              <w:rPr>
                <w:rFonts w:ascii="Arial" w:eastAsia="Calibri" w:hAnsi="Arial" w:cs="Arial"/>
              </w:rPr>
              <w:t xml:space="preserve">a further </w:t>
            </w:r>
            <w:r w:rsidR="00817721" w:rsidRPr="00817721">
              <w:rPr>
                <w:rFonts w:ascii="Arial" w:eastAsia="Calibri" w:hAnsi="Arial" w:cs="Arial"/>
              </w:rPr>
              <w:t>Schedule</w:t>
            </w:r>
            <w:r w:rsidR="00817721">
              <w:rPr>
                <w:rFonts w:ascii="Arial" w:eastAsia="Calibri" w:hAnsi="Arial" w:cs="Arial"/>
              </w:rPr>
              <w:t>.</w:t>
            </w:r>
          </w:p>
        </w:tc>
      </w:tr>
      <w:tr w:rsidR="00C256AD" w:rsidRPr="008D0A09" w:rsidTr="007A4331">
        <w:tc>
          <w:tcPr>
            <w:tcW w:w="2943" w:type="dxa"/>
          </w:tcPr>
          <w:p w:rsidR="00C256AD" w:rsidRDefault="00C256AD" w:rsidP="00B53D06">
            <w:pPr>
              <w:jc w:val="left"/>
              <w:rPr>
                <w:rStyle w:val="Level1asHeadingtext"/>
                <w:rFonts w:ascii="Arial" w:hAnsi="Arial" w:cs="Arial"/>
              </w:rPr>
            </w:pPr>
          </w:p>
        </w:tc>
        <w:tc>
          <w:tcPr>
            <w:tcW w:w="6911" w:type="dxa"/>
          </w:tcPr>
          <w:p w:rsidR="00C256AD" w:rsidRDefault="00C256AD" w:rsidP="00DE5DF2">
            <w:pPr>
              <w:pStyle w:val="CommentText"/>
              <w:rPr>
                <w:rFonts w:ascii="Arial" w:hAnsi="Arial" w:cs="Arial"/>
              </w:rPr>
            </w:pPr>
            <w:r w:rsidRPr="00DE5DF2">
              <w:rPr>
                <w:rStyle w:val="Level1asHeadingtext"/>
                <w:rFonts w:ascii="Arial" w:hAnsi="Arial" w:cs="Arial"/>
                <w:sz w:val="22"/>
                <w:szCs w:val="22"/>
              </w:rPr>
              <w:t>“Project Plan”</w:t>
            </w:r>
            <w:r>
              <w:rPr>
                <w:rStyle w:val="Level1asHeadingtext"/>
                <w:rFonts w:ascii="Arial" w:hAnsi="Arial" w:cs="Arial"/>
              </w:rPr>
              <w:t xml:space="preserve"> - </w:t>
            </w:r>
            <w:r w:rsidRPr="00DE5DF2">
              <w:rPr>
                <w:rFonts w:ascii="Arial" w:eastAsiaTheme="minorHAnsi" w:hAnsi="Arial" w:cs="Arial"/>
                <w:sz w:val="22"/>
                <w:szCs w:val="22"/>
                <w:lang w:eastAsia="en-US"/>
              </w:rPr>
              <w:t>More complex projects will require a detailed Project Plan to ensure that there are no misconceptions</w:t>
            </w:r>
            <w:r w:rsidR="00DE5DF2">
              <w:rPr>
                <w:rFonts w:ascii="Arial" w:eastAsiaTheme="minorHAnsi" w:hAnsi="Arial" w:cs="Arial"/>
                <w:sz w:val="22"/>
                <w:szCs w:val="22"/>
                <w:lang w:eastAsia="en-US"/>
              </w:rPr>
              <w:t xml:space="preserve"> so c</w:t>
            </w:r>
            <w:r w:rsidR="00DE5DF2" w:rsidRPr="00DE5DF2">
              <w:rPr>
                <w:rFonts w:ascii="Arial" w:eastAsiaTheme="minorHAnsi" w:hAnsi="Arial" w:cs="Arial"/>
                <w:sz w:val="22"/>
                <w:szCs w:val="22"/>
                <w:lang w:eastAsia="en-US"/>
              </w:rPr>
              <w:t>an be in</w:t>
            </w:r>
            <w:r w:rsidR="00DE5DF2">
              <w:rPr>
                <w:rFonts w:ascii="Arial" w:eastAsiaTheme="minorHAnsi" w:hAnsi="Arial" w:cs="Arial"/>
                <w:sz w:val="22"/>
                <w:szCs w:val="22"/>
                <w:lang w:eastAsia="en-US"/>
              </w:rPr>
              <w:t>cluded if appropriate -</w:t>
            </w:r>
            <w:r w:rsidR="00DE5DF2" w:rsidRPr="00DE5DF2">
              <w:rPr>
                <w:rFonts w:ascii="Arial" w:eastAsiaTheme="minorHAnsi" w:hAnsi="Arial" w:cs="Arial"/>
                <w:sz w:val="22"/>
                <w:szCs w:val="22"/>
                <w:lang w:eastAsia="en-US"/>
              </w:rPr>
              <w:t xml:space="preserve"> probably not needed for smaller consultancy services</w:t>
            </w:r>
            <w:r w:rsidR="00DE5DF2">
              <w:rPr>
                <w:rFonts w:ascii="Arial" w:eastAsiaTheme="minorHAnsi" w:hAnsi="Arial" w:cs="Arial"/>
                <w:sz w:val="22"/>
                <w:szCs w:val="22"/>
                <w:lang w:eastAsia="en-US"/>
              </w:rPr>
              <w:t xml:space="preserve">. </w:t>
            </w:r>
            <w:r w:rsidRPr="00DE5DF2">
              <w:rPr>
                <w:rFonts w:ascii="Arial" w:eastAsiaTheme="minorHAnsi" w:hAnsi="Arial" w:cs="Arial"/>
                <w:sz w:val="22"/>
                <w:szCs w:val="22"/>
                <w:lang w:eastAsia="en-US"/>
              </w:rPr>
              <w:t>Always useful to include if available (i.e. in the PID). See Schedule 3.</w:t>
            </w:r>
          </w:p>
        </w:tc>
      </w:tr>
      <w:tr w:rsidR="007A3758" w:rsidRPr="008D0A09" w:rsidTr="007A4331">
        <w:tc>
          <w:tcPr>
            <w:tcW w:w="2943" w:type="dxa"/>
          </w:tcPr>
          <w:p w:rsidR="007A3758" w:rsidRDefault="007A3758" w:rsidP="008F4B27">
            <w:pPr>
              <w:jc w:val="left"/>
              <w:rPr>
                <w:rStyle w:val="Level1asHeadingtext"/>
                <w:rFonts w:ascii="Arial" w:hAnsi="Arial" w:cs="Arial"/>
              </w:rPr>
            </w:pPr>
          </w:p>
        </w:tc>
        <w:tc>
          <w:tcPr>
            <w:tcW w:w="6911" w:type="dxa"/>
          </w:tcPr>
          <w:p w:rsidR="007A3758" w:rsidRDefault="007A3758" w:rsidP="007A4331">
            <w:pPr>
              <w:rPr>
                <w:rFonts w:ascii="Arial" w:hAnsi="Arial" w:cs="Arial"/>
              </w:rPr>
            </w:pPr>
            <w:r w:rsidRPr="00DE5DF2">
              <w:rPr>
                <w:rStyle w:val="Level1asHeadingtext"/>
                <w:rFonts w:ascii="Arial" w:hAnsi="Arial" w:cs="Arial"/>
              </w:rPr>
              <w:t>“</w:t>
            </w:r>
            <w:r>
              <w:rPr>
                <w:rStyle w:val="Level1asHeadingtext"/>
                <w:rFonts w:ascii="Arial" w:hAnsi="Arial" w:cs="Arial"/>
              </w:rPr>
              <w:t>Price</w:t>
            </w:r>
            <w:r w:rsidRPr="00DE5DF2">
              <w:rPr>
                <w:rStyle w:val="Level1asHeadingtext"/>
                <w:rFonts w:ascii="Arial" w:hAnsi="Arial" w:cs="Arial"/>
              </w:rPr>
              <w:t>”</w:t>
            </w:r>
            <w:r>
              <w:rPr>
                <w:rStyle w:val="Level1asHeadingtext"/>
                <w:rFonts w:ascii="Arial" w:hAnsi="Arial" w:cs="Arial"/>
              </w:rPr>
              <w:t xml:space="preserve"> - </w:t>
            </w:r>
            <w:r>
              <w:rPr>
                <w:rFonts w:ascii="Arial" w:hAnsi="Arial" w:cs="Arial"/>
              </w:rPr>
              <w:t xml:space="preserve">The Price should correspond with the agreed price (submitted at tendering).  Schedule 1 (below) offers a further opportunity to set out agreed prices. Make sure that additional expenses/costs are clearly identified (e.g. travel/subsistence, training/implementation, out-of-hours/urgent work, </w:t>
            </w:r>
            <w:r w:rsidRPr="00817721">
              <w:rPr>
                <w:rFonts w:ascii="Arial" w:hAnsi="Arial" w:cs="Arial"/>
              </w:rPr>
              <w:t>accommodation and other expenses</w:t>
            </w:r>
            <w:r>
              <w:rPr>
                <w:rFonts w:ascii="Arial" w:hAnsi="Arial" w:cs="Arial"/>
              </w:rPr>
              <w:t xml:space="preserve"> additional resources).</w:t>
            </w:r>
            <w:r w:rsidR="007A4331">
              <w:rPr>
                <w:rFonts w:ascii="Arial" w:hAnsi="Arial" w:cs="Arial"/>
              </w:rPr>
              <w:t xml:space="preserve"> This should be clearly set out in Appendix 1.</w:t>
            </w:r>
          </w:p>
        </w:tc>
      </w:tr>
      <w:tr w:rsidR="00941F5B" w:rsidRPr="008D0A09" w:rsidTr="007A4331">
        <w:tc>
          <w:tcPr>
            <w:tcW w:w="2943" w:type="dxa"/>
          </w:tcPr>
          <w:p w:rsidR="00941F5B" w:rsidRDefault="00941F5B" w:rsidP="008F4B27">
            <w:pPr>
              <w:jc w:val="left"/>
              <w:rPr>
                <w:rStyle w:val="Level1asHeadingtext"/>
                <w:rFonts w:ascii="Arial" w:hAnsi="Arial" w:cs="Arial"/>
              </w:rPr>
            </w:pPr>
          </w:p>
        </w:tc>
        <w:tc>
          <w:tcPr>
            <w:tcW w:w="6911" w:type="dxa"/>
          </w:tcPr>
          <w:p w:rsidR="00941F5B" w:rsidRDefault="00941F5B" w:rsidP="00941F5B">
            <w:pPr>
              <w:rPr>
                <w:rFonts w:ascii="Arial" w:hAnsi="Arial" w:cs="Arial"/>
              </w:rPr>
            </w:pPr>
            <w:r w:rsidRPr="00DE5DF2">
              <w:rPr>
                <w:rStyle w:val="Level1asHeadingtext"/>
                <w:rFonts w:ascii="Arial" w:hAnsi="Arial" w:cs="Arial"/>
              </w:rPr>
              <w:t>“</w:t>
            </w:r>
            <w:r>
              <w:rPr>
                <w:rStyle w:val="Level1asHeadingtext"/>
                <w:rFonts w:ascii="Arial" w:hAnsi="Arial" w:cs="Arial"/>
              </w:rPr>
              <w:t>Services</w:t>
            </w:r>
            <w:r w:rsidRPr="00DE5DF2">
              <w:rPr>
                <w:rStyle w:val="Level1asHeadingtext"/>
                <w:rFonts w:ascii="Arial" w:hAnsi="Arial" w:cs="Arial"/>
              </w:rPr>
              <w:t>”</w:t>
            </w:r>
            <w:r>
              <w:rPr>
                <w:rStyle w:val="Level1asHeadingtext"/>
                <w:rFonts w:ascii="Arial" w:hAnsi="Arial" w:cs="Arial"/>
              </w:rPr>
              <w:t xml:space="preserve"> </w:t>
            </w:r>
            <w:r w:rsidRPr="00941F5B">
              <w:rPr>
                <w:b/>
              </w:rPr>
              <w:t xml:space="preserve">- </w:t>
            </w:r>
            <w:r w:rsidRPr="00941F5B">
              <w:rPr>
                <w:rFonts w:ascii="Arial" w:hAnsi="Arial" w:cs="Arial"/>
              </w:rPr>
              <w:t xml:space="preserve">Can make reference in Schedule 1 </w:t>
            </w:r>
            <w:r>
              <w:rPr>
                <w:rFonts w:ascii="Arial" w:hAnsi="Arial" w:cs="Arial"/>
              </w:rPr>
              <w:t xml:space="preserve">and </w:t>
            </w:r>
            <w:r w:rsidRPr="00941F5B">
              <w:rPr>
                <w:rFonts w:ascii="Arial" w:hAnsi="Arial" w:cs="Arial"/>
              </w:rPr>
              <w:t>to any tender document or other document which outlines the services.</w:t>
            </w:r>
          </w:p>
        </w:tc>
      </w:tr>
      <w:tr w:rsidR="00A20E1E" w:rsidRPr="008D0A09" w:rsidTr="007A4331">
        <w:tc>
          <w:tcPr>
            <w:tcW w:w="2943" w:type="dxa"/>
          </w:tcPr>
          <w:p w:rsidR="00A20E1E" w:rsidRPr="0016086C" w:rsidRDefault="008F4B27" w:rsidP="008F4B27">
            <w:pPr>
              <w:jc w:val="left"/>
              <w:rPr>
                <w:rStyle w:val="Level1asHeadingtext"/>
                <w:rFonts w:ascii="Arial" w:hAnsi="Arial" w:cs="Arial"/>
              </w:rPr>
            </w:pPr>
            <w:r>
              <w:rPr>
                <w:rStyle w:val="Level1asHeadingtext"/>
                <w:rFonts w:ascii="Arial" w:hAnsi="Arial" w:cs="Arial"/>
              </w:rPr>
              <w:t>5</w:t>
            </w:r>
            <w:r w:rsidR="004221C8">
              <w:rPr>
                <w:rStyle w:val="Level1asHeadingtext"/>
                <w:rFonts w:ascii="Arial" w:hAnsi="Arial" w:cs="Arial"/>
              </w:rPr>
              <w:t>.</w:t>
            </w:r>
            <w:r w:rsidR="0016086C">
              <w:rPr>
                <w:rStyle w:val="Level1asHeadingtext"/>
                <w:rFonts w:ascii="Arial" w:hAnsi="Arial" w:cs="Arial"/>
              </w:rPr>
              <w:t xml:space="preserve"> </w:t>
            </w:r>
            <w:r>
              <w:rPr>
                <w:rStyle w:val="Level1asHeadingtext"/>
                <w:rFonts w:ascii="Arial" w:hAnsi="Arial" w:cs="Arial"/>
              </w:rPr>
              <w:t>Anti Corruption</w:t>
            </w:r>
          </w:p>
        </w:tc>
        <w:tc>
          <w:tcPr>
            <w:tcW w:w="6911" w:type="dxa"/>
          </w:tcPr>
          <w:p w:rsidR="00A20E1E" w:rsidRPr="008D0A09" w:rsidRDefault="0016086C" w:rsidP="00B53D06">
            <w:pPr>
              <w:rPr>
                <w:rFonts w:ascii="Arial" w:hAnsi="Arial" w:cs="Arial"/>
              </w:rPr>
            </w:pPr>
            <w:r>
              <w:rPr>
                <w:rFonts w:ascii="Arial" w:hAnsi="Arial" w:cs="Arial"/>
              </w:rPr>
              <w:t xml:space="preserve">The clauses here are designed to accommodate </w:t>
            </w:r>
            <w:r w:rsidR="008F4B27" w:rsidRPr="008F4B27">
              <w:rPr>
                <w:rFonts w:ascii="Arial" w:hAnsi="Arial" w:cs="Arial"/>
              </w:rPr>
              <w:t>The Bribery Act 2010 which requires the University to implement policies and procedures that deter and prevent bribery throughout the University and by persons and organisations associated with it.  As part of this responsibility all University personnel, suppliers and supplier personnel should make</w:t>
            </w:r>
            <w:r w:rsidR="008F4B27">
              <w:rPr>
                <w:rFonts w:ascii="Arial" w:eastAsiaTheme="minorEastAsia" w:hAnsi="Arial" w:cs="Arial"/>
                <w:noProof/>
                <w:color w:val="365F91" w:themeColor="accent1" w:themeShade="BF"/>
                <w:sz w:val="20"/>
                <w:szCs w:val="20"/>
                <w:lang w:eastAsia="en-GB"/>
              </w:rPr>
              <w:t xml:space="preserve"> </w:t>
            </w:r>
            <w:r w:rsidR="008F4B27" w:rsidRPr="008F4B27">
              <w:rPr>
                <w:rFonts w:ascii="Arial" w:hAnsi="Arial" w:cs="Arial"/>
              </w:rPr>
              <w:t xml:space="preserve">themselves aware of their obligations, set out </w:t>
            </w:r>
            <w:r w:rsidR="008F4B27" w:rsidRPr="00941F5B">
              <w:rPr>
                <w:rFonts w:ascii="Arial" w:hAnsi="Arial" w:cs="Arial"/>
              </w:rPr>
              <w:t>at</w:t>
            </w:r>
            <w:r w:rsidR="008F4B27" w:rsidRPr="00941F5B">
              <w:rPr>
                <w:rFonts w:ascii="Arial" w:eastAsiaTheme="minorEastAsia" w:hAnsi="Arial" w:cs="Arial"/>
                <w:noProof/>
                <w:lang w:eastAsia="en-GB"/>
              </w:rPr>
              <w:t xml:space="preserve"> </w:t>
            </w:r>
            <w:hyperlink r:id="rId10" w:history="1">
              <w:r w:rsidR="008F4B27" w:rsidRPr="00941F5B">
                <w:rPr>
                  <w:rStyle w:val="Hyperlink"/>
                  <w:rFonts w:ascii="Arial" w:eastAsiaTheme="minorEastAsia" w:hAnsi="Arial" w:cs="Arial"/>
                  <w:noProof/>
                  <w:lang w:eastAsia="en-GB"/>
                </w:rPr>
                <w:t>http://www.justice.gov.uk/guidance/making-and-reviewing-the-</w:t>
              </w:r>
              <w:r w:rsidR="008F4B27" w:rsidRPr="00941F5B">
                <w:rPr>
                  <w:rStyle w:val="Hyperlink"/>
                  <w:rFonts w:ascii="Arial" w:eastAsiaTheme="minorEastAsia" w:hAnsi="Arial" w:cs="Arial"/>
                  <w:noProof/>
                  <w:lang w:eastAsia="en-GB"/>
                </w:rPr>
                <w:lastRenderedPageBreak/>
                <w:t>law/bribery.htm</w:t>
              </w:r>
            </w:hyperlink>
          </w:p>
        </w:tc>
      </w:tr>
      <w:tr w:rsidR="00187829" w:rsidRPr="008D0A09" w:rsidTr="007A4331">
        <w:tc>
          <w:tcPr>
            <w:tcW w:w="2943" w:type="dxa"/>
          </w:tcPr>
          <w:p w:rsidR="00187829" w:rsidRPr="005665A4" w:rsidRDefault="00187829" w:rsidP="007D2416">
            <w:pPr>
              <w:rPr>
                <w:rFonts w:ascii="Arial" w:hAnsi="Arial" w:cs="Arial"/>
                <w:b/>
              </w:rPr>
            </w:pPr>
            <w:r>
              <w:rPr>
                <w:rFonts w:ascii="Arial" w:hAnsi="Arial" w:cs="Arial"/>
                <w:b/>
              </w:rPr>
              <w:lastRenderedPageBreak/>
              <w:t>6</w:t>
            </w:r>
            <w:r w:rsidRPr="005665A4">
              <w:rPr>
                <w:rFonts w:ascii="Arial" w:hAnsi="Arial" w:cs="Arial"/>
                <w:b/>
              </w:rPr>
              <w:t>. Payment</w:t>
            </w:r>
            <w:r>
              <w:rPr>
                <w:rFonts w:ascii="Arial" w:hAnsi="Arial" w:cs="Arial"/>
                <w:b/>
              </w:rPr>
              <w:t>*</w:t>
            </w:r>
          </w:p>
        </w:tc>
        <w:tc>
          <w:tcPr>
            <w:tcW w:w="6911" w:type="dxa"/>
          </w:tcPr>
          <w:p w:rsidR="00187829" w:rsidRPr="008D0A09" w:rsidRDefault="00187829" w:rsidP="00FC5D10">
            <w:pPr>
              <w:rPr>
                <w:rFonts w:ascii="Arial" w:hAnsi="Arial" w:cs="Arial"/>
              </w:rPr>
            </w:pPr>
            <w:r>
              <w:rPr>
                <w:rFonts w:ascii="Arial" w:hAnsi="Arial" w:cs="Arial"/>
              </w:rPr>
              <w:t>These clauses should reflect the intended payment process that will be adopted for the project.  It is good practice to produce a Payment Schedule if this is key to the project</w:t>
            </w:r>
            <w:r w:rsidR="00DE5DF2">
              <w:rPr>
                <w:rFonts w:ascii="Arial" w:hAnsi="Arial" w:cs="Arial"/>
              </w:rPr>
              <w:t xml:space="preserve"> (Schedule </w:t>
            </w:r>
            <w:r w:rsidR="00FC5D10">
              <w:rPr>
                <w:rFonts w:ascii="Arial" w:hAnsi="Arial" w:cs="Arial"/>
              </w:rPr>
              <w:t>1</w:t>
            </w:r>
            <w:r w:rsidR="00DE5DF2">
              <w:rPr>
                <w:rFonts w:ascii="Arial" w:hAnsi="Arial" w:cs="Arial"/>
              </w:rPr>
              <w:t>]</w:t>
            </w:r>
            <w:r>
              <w:rPr>
                <w:rFonts w:ascii="Arial" w:hAnsi="Arial" w:cs="Arial"/>
              </w:rPr>
              <w:t xml:space="preserve">. Consultants (especially </w:t>
            </w:r>
            <w:r w:rsidR="00E36CC6">
              <w:rPr>
                <w:rFonts w:ascii="Arial" w:hAnsi="Arial" w:cs="Arial"/>
              </w:rPr>
              <w:t>when</w:t>
            </w:r>
            <w:r>
              <w:rPr>
                <w:rFonts w:ascii="Arial" w:hAnsi="Arial" w:cs="Arial"/>
              </w:rPr>
              <w:t xml:space="preserve"> used on an ad hoc basis) will need to know how they will invoice and when they will expect to be paid when an invoice is produced.  All invoices and orders should refer to the Contract Reference.</w:t>
            </w:r>
          </w:p>
        </w:tc>
      </w:tr>
      <w:tr w:rsidR="00FC5D10" w:rsidRPr="008D0A09" w:rsidTr="007A4331">
        <w:tc>
          <w:tcPr>
            <w:tcW w:w="2943" w:type="dxa"/>
          </w:tcPr>
          <w:p w:rsidR="00FC5D10" w:rsidRPr="00FC5D10" w:rsidRDefault="00FC5D10" w:rsidP="00FC5D10">
            <w:pPr>
              <w:rPr>
                <w:rFonts w:ascii="Arial" w:hAnsi="Arial" w:cs="Arial"/>
              </w:rPr>
            </w:pPr>
          </w:p>
        </w:tc>
        <w:tc>
          <w:tcPr>
            <w:tcW w:w="6911" w:type="dxa"/>
          </w:tcPr>
          <w:p w:rsidR="00FC5D10" w:rsidRPr="008D0A09" w:rsidRDefault="00FC5D10" w:rsidP="00FC5D10">
            <w:pPr>
              <w:rPr>
                <w:rFonts w:ascii="Arial" w:hAnsi="Arial" w:cs="Arial"/>
              </w:rPr>
            </w:pPr>
            <w:r>
              <w:rPr>
                <w:rFonts w:ascii="Arial" w:hAnsi="Arial" w:cs="Arial"/>
              </w:rPr>
              <w:t xml:space="preserve">The </w:t>
            </w:r>
            <w:r w:rsidRPr="00ED4E11">
              <w:rPr>
                <w:rFonts w:ascii="Arial" w:hAnsi="Arial" w:cs="Arial"/>
                <w:b/>
              </w:rPr>
              <w:t>Price</w:t>
            </w:r>
            <w:r>
              <w:rPr>
                <w:rFonts w:ascii="Arial" w:hAnsi="Arial" w:cs="Arial"/>
              </w:rPr>
              <w:t xml:space="preserve"> should correspond with the agreed price (submitted at tendering).  Schedule 1 (below) offers a further opportunity to set out agreed prices</w:t>
            </w:r>
            <w:r w:rsidR="00ED4E11">
              <w:rPr>
                <w:rFonts w:ascii="Arial" w:hAnsi="Arial" w:cs="Arial"/>
              </w:rPr>
              <w:t xml:space="preserve"> alongside payment arrangements</w:t>
            </w:r>
            <w:r>
              <w:rPr>
                <w:rFonts w:ascii="Arial" w:hAnsi="Arial" w:cs="Arial"/>
              </w:rPr>
              <w:t xml:space="preserve">. Make sure that additional expenses/costs are clearly identified (e.g. travel/subsistence, training/implementation, out-of-hours/urgent work, </w:t>
            </w:r>
            <w:r w:rsidRPr="00817721">
              <w:rPr>
                <w:rFonts w:ascii="Arial" w:hAnsi="Arial" w:cs="Arial"/>
              </w:rPr>
              <w:t>accommodation and other expenses</w:t>
            </w:r>
            <w:r>
              <w:rPr>
                <w:rFonts w:ascii="Arial" w:hAnsi="Arial" w:cs="Arial"/>
              </w:rPr>
              <w:t xml:space="preserve"> additional resources).</w:t>
            </w:r>
          </w:p>
        </w:tc>
      </w:tr>
      <w:tr w:rsidR="00A20E1E" w:rsidRPr="008D0A09" w:rsidTr="007A4331">
        <w:tc>
          <w:tcPr>
            <w:tcW w:w="2943" w:type="dxa"/>
          </w:tcPr>
          <w:p w:rsidR="00A20E1E" w:rsidRPr="005D0150" w:rsidRDefault="00187829" w:rsidP="00187829">
            <w:pPr>
              <w:rPr>
                <w:rFonts w:ascii="Arial" w:hAnsi="Arial" w:cs="Arial"/>
                <w:b/>
              </w:rPr>
            </w:pPr>
            <w:r>
              <w:rPr>
                <w:rFonts w:ascii="Arial" w:hAnsi="Arial" w:cs="Arial"/>
                <w:b/>
              </w:rPr>
              <w:t>7</w:t>
            </w:r>
            <w:r w:rsidR="004221C8">
              <w:rPr>
                <w:rFonts w:ascii="Arial" w:hAnsi="Arial" w:cs="Arial"/>
                <w:b/>
              </w:rPr>
              <w:t>.</w:t>
            </w:r>
            <w:r w:rsidR="005D0150" w:rsidRPr="005D0150">
              <w:rPr>
                <w:rFonts w:ascii="Arial" w:hAnsi="Arial" w:cs="Arial"/>
                <w:b/>
              </w:rPr>
              <w:t xml:space="preserve"> </w:t>
            </w:r>
            <w:r>
              <w:rPr>
                <w:rFonts w:ascii="Arial" w:hAnsi="Arial" w:cs="Arial"/>
                <w:b/>
              </w:rPr>
              <w:t>Expenses</w:t>
            </w:r>
          </w:p>
        </w:tc>
        <w:tc>
          <w:tcPr>
            <w:tcW w:w="6911" w:type="dxa"/>
          </w:tcPr>
          <w:p w:rsidR="00A20E1E" w:rsidRPr="008D0A09" w:rsidRDefault="00187829" w:rsidP="000C06EE">
            <w:pPr>
              <w:rPr>
                <w:rFonts w:ascii="Arial" w:hAnsi="Arial" w:cs="Arial"/>
              </w:rPr>
            </w:pPr>
            <w:r>
              <w:rPr>
                <w:rFonts w:ascii="Arial" w:hAnsi="Arial" w:cs="Arial"/>
              </w:rPr>
              <w:t>As ‘6’ above</w:t>
            </w:r>
          </w:p>
        </w:tc>
      </w:tr>
      <w:tr w:rsidR="00945B8B" w:rsidRPr="008D0A09" w:rsidTr="00A25F93">
        <w:tc>
          <w:tcPr>
            <w:tcW w:w="2943" w:type="dxa"/>
          </w:tcPr>
          <w:p w:rsidR="00945B8B" w:rsidRPr="00F27510" w:rsidRDefault="00945B8B" w:rsidP="00A25F93">
            <w:pPr>
              <w:rPr>
                <w:rFonts w:ascii="Arial" w:hAnsi="Arial" w:cs="Arial"/>
                <w:b/>
              </w:rPr>
            </w:pPr>
            <w:r>
              <w:rPr>
                <w:rFonts w:ascii="Arial" w:hAnsi="Arial" w:cs="Arial"/>
                <w:b/>
              </w:rPr>
              <w:t xml:space="preserve">10. </w:t>
            </w:r>
            <w:r w:rsidRPr="00F27510">
              <w:rPr>
                <w:rFonts w:ascii="Arial" w:hAnsi="Arial" w:cs="Arial"/>
                <w:b/>
              </w:rPr>
              <w:t xml:space="preserve">Performance </w:t>
            </w:r>
            <w:r>
              <w:rPr>
                <w:rFonts w:ascii="Arial" w:hAnsi="Arial" w:cs="Arial"/>
                <w:b/>
              </w:rPr>
              <w:t>and Delay</w:t>
            </w:r>
          </w:p>
        </w:tc>
        <w:tc>
          <w:tcPr>
            <w:tcW w:w="6911" w:type="dxa"/>
          </w:tcPr>
          <w:p w:rsidR="00945B8B" w:rsidRPr="00C63A3E" w:rsidRDefault="00945B8B" w:rsidP="00C63A3E">
            <w:pPr>
              <w:rPr>
                <w:rFonts w:ascii="Arial" w:hAnsi="Arial" w:cs="Arial"/>
                <w:sz w:val="16"/>
                <w:szCs w:val="16"/>
              </w:rPr>
            </w:pPr>
            <w:r>
              <w:rPr>
                <w:rStyle w:val="twoce1"/>
                <w:rFonts w:ascii="Arial" w:hAnsi="Arial" w:cs="Arial"/>
                <w:color w:val="000000"/>
              </w:rPr>
              <w:t>E</w:t>
            </w:r>
            <w:r w:rsidRPr="002F27ED">
              <w:rPr>
                <w:rStyle w:val="twoce1"/>
                <w:rFonts w:ascii="Arial" w:hAnsi="Arial" w:cs="Arial"/>
                <w:color w:val="000000"/>
              </w:rPr>
              <w:t>stablish</w:t>
            </w:r>
            <w:r>
              <w:rPr>
                <w:rStyle w:val="twoce1"/>
                <w:rFonts w:ascii="Arial" w:hAnsi="Arial" w:cs="Arial"/>
                <w:color w:val="000000"/>
              </w:rPr>
              <w:t>ing</w:t>
            </w:r>
            <w:r w:rsidRPr="002F27ED">
              <w:rPr>
                <w:rStyle w:val="twoce1"/>
                <w:rFonts w:ascii="Arial" w:hAnsi="Arial" w:cs="Arial"/>
                <w:color w:val="000000"/>
              </w:rPr>
              <w:t xml:space="preserve"> the supplier’s ability to deliver specified require</w:t>
            </w:r>
            <w:r>
              <w:rPr>
                <w:rStyle w:val="twoce1"/>
                <w:rFonts w:ascii="Arial" w:hAnsi="Arial" w:cs="Arial"/>
                <w:color w:val="000000"/>
              </w:rPr>
              <w:t>ments and to carry</w:t>
            </w:r>
            <w:r w:rsidRPr="002F27ED">
              <w:rPr>
                <w:rStyle w:val="twoce1"/>
                <w:rFonts w:ascii="Arial" w:hAnsi="Arial" w:cs="Arial"/>
                <w:color w:val="000000"/>
              </w:rPr>
              <w:t xml:space="preserve"> out due diligence,</w:t>
            </w:r>
            <w:r>
              <w:rPr>
                <w:rStyle w:val="twoce1"/>
                <w:rFonts w:ascii="Arial" w:hAnsi="Arial" w:cs="Arial"/>
                <w:color w:val="000000"/>
              </w:rPr>
              <w:t xml:space="preserve"> is crucial to the success of the contract. Consider carefully and include in Schedule 2 (below). Advice is available on the </w:t>
            </w:r>
            <w:hyperlink r:id="rId11" w:history="1">
              <w:r w:rsidR="00C63A3E" w:rsidRPr="00DD4FBE">
                <w:rPr>
                  <w:rStyle w:val="Hyperlink"/>
                  <w:rFonts w:ascii="Arial" w:hAnsi="Arial" w:cs="Arial"/>
                </w:rPr>
                <w:t>Procurement Services</w:t>
              </w:r>
            </w:hyperlink>
            <w:r w:rsidR="00C63A3E">
              <w:rPr>
                <w:rFonts w:ascii="Arial" w:hAnsi="Arial" w:cs="Arial"/>
              </w:rPr>
              <w:t xml:space="preserve"> </w:t>
            </w:r>
            <w:r w:rsidRPr="00C63A3E">
              <w:rPr>
                <w:rFonts w:ascii="Arial" w:hAnsi="Arial" w:cs="Arial"/>
              </w:rPr>
              <w:t>web-pages</w:t>
            </w:r>
            <w:r>
              <w:rPr>
                <w:rStyle w:val="twoce1"/>
                <w:rFonts w:ascii="Arial" w:hAnsi="Arial" w:cs="Arial"/>
                <w:color w:val="000000"/>
              </w:rPr>
              <w:t>.</w:t>
            </w:r>
          </w:p>
        </w:tc>
      </w:tr>
      <w:tr w:rsidR="00DE027F" w:rsidRPr="008D0A09" w:rsidTr="007A4331">
        <w:tc>
          <w:tcPr>
            <w:tcW w:w="2943" w:type="dxa"/>
          </w:tcPr>
          <w:p w:rsidR="00DE027F" w:rsidRPr="00E318A1" w:rsidRDefault="00DE027F" w:rsidP="00F0141C">
            <w:pPr>
              <w:rPr>
                <w:rFonts w:ascii="Arial" w:hAnsi="Arial" w:cs="Arial"/>
                <w:b/>
              </w:rPr>
            </w:pPr>
            <w:bookmarkStart w:id="0" w:name="_Ref531503482"/>
            <w:bookmarkStart w:id="1" w:name="_Ref531503534"/>
            <w:bookmarkStart w:id="2" w:name="_Ref531503571"/>
            <w:r w:rsidRPr="00E318A1">
              <w:rPr>
                <w:rFonts w:ascii="Arial" w:hAnsi="Arial" w:cs="Arial"/>
                <w:b/>
              </w:rPr>
              <w:t>1</w:t>
            </w:r>
            <w:r>
              <w:rPr>
                <w:rFonts w:ascii="Arial" w:hAnsi="Arial" w:cs="Arial"/>
                <w:b/>
              </w:rPr>
              <w:t>1</w:t>
            </w:r>
            <w:r w:rsidRPr="00E318A1">
              <w:rPr>
                <w:rFonts w:ascii="Arial" w:hAnsi="Arial" w:cs="Arial"/>
                <w:b/>
              </w:rPr>
              <w:t>. Warranty Indemnity and Cancellation</w:t>
            </w:r>
            <w:bookmarkEnd w:id="0"/>
            <w:bookmarkEnd w:id="1"/>
            <w:bookmarkEnd w:id="2"/>
          </w:p>
        </w:tc>
        <w:tc>
          <w:tcPr>
            <w:tcW w:w="6911" w:type="dxa"/>
          </w:tcPr>
          <w:p w:rsidR="00DE027F" w:rsidRDefault="00DE027F" w:rsidP="00F0141C">
            <w:pPr>
              <w:rPr>
                <w:rFonts w:ascii="Arial" w:hAnsi="Arial" w:cs="Arial"/>
              </w:rPr>
            </w:pPr>
            <w:r>
              <w:rPr>
                <w:rFonts w:ascii="Arial" w:hAnsi="Arial" w:cs="Arial"/>
              </w:rPr>
              <w:t>The clauses here are designed to accommodate the requirements in respect of Warranty. Consider carefully against project requirements</w:t>
            </w:r>
          </w:p>
          <w:p w:rsidR="00DE027F" w:rsidRPr="008D0A09" w:rsidRDefault="00DE027F" w:rsidP="00F0141C">
            <w:pPr>
              <w:pStyle w:val="CommentText"/>
              <w:rPr>
                <w:rFonts w:ascii="Arial" w:hAnsi="Arial" w:cs="Arial"/>
              </w:rPr>
            </w:pPr>
            <w:r>
              <w:rPr>
                <w:rFonts w:ascii="Arial" w:eastAsiaTheme="minorHAnsi" w:hAnsi="Arial" w:cs="Arial"/>
                <w:sz w:val="22"/>
                <w:szCs w:val="22"/>
                <w:lang w:eastAsia="en-US"/>
              </w:rPr>
              <w:t>Consider whether Consultant w</w:t>
            </w:r>
            <w:r w:rsidRPr="004F5F66">
              <w:rPr>
                <w:rFonts w:ascii="Arial" w:eastAsiaTheme="minorHAnsi" w:hAnsi="Arial" w:cs="Arial"/>
                <w:sz w:val="22"/>
                <w:szCs w:val="22"/>
                <w:lang w:eastAsia="en-US"/>
              </w:rPr>
              <w:t>ill he have any access to computer systems – if not can delete 11.1.6/7</w:t>
            </w:r>
          </w:p>
        </w:tc>
      </w:tr>
      <w:tr w:rsidR="007D2416" w:rsidRPr="00E36CC6" w:rsidTr="007A4331">
        <w:tc>
          <w:tcPr>
            <w:tcW w:w="2943" w:type="dxa"/>
          </w:tcPr>
          <w:p w:rsidR="007D2416" w:rsidRPr="007D2416" w:rsidRDefault="00E36CC6" w:rsidP="007D2416">
            <w:pPr>
              <w:rPr>
                <w:rFonts w:ascii="Arial" w:hAnsi="Arial" w:cs="Arial"/>
                <w:b/>
              </w:rPr>
            </w:pPr>
            <w:r w:rsidRPr="00E36CC6">
              <w:rPr>
                <w:rFonts w:ascii="Arial" w:hAnsi="Arial" w:cs="Arial"/>
                <w:b/>
              </w:rPr>
              <w:t>14.</w:t>
            </w:r>
            <w:r>
              <w:rPr>
                <w:rFonts w:ascii="Arial" w:hAnsi="Arial" w:cs="Arial"/>
              </w:rPr>
              <w:t xml:space="preserve"> </w:t>
            </w:r>
            <w:r w:rsidR="007D2416" w:rsidRPr="00E36CC6">
              <w:rPr>
                <w:rFonts w:ascii="Arial" w:hAnsi="Arial" w:cs="Arial"/>
                <w:b/>
              </w:rPr>
              <w:t>Loss of Software and Data Security</w:t>
            </w:r>
            <w:bookmarkStart w:id="3" w:name="_NN15"/>
            <w:bookmarkEnd w:id="3"/>
            <w:r w:rsidR="003A4C51" w:rsidRPr="007D2416">
              <w:rPr>
                <w:rFonts w:ascii="Arial" w:hAnsi="Arial" w:cs="Arial"/>
                <w:b/>
              </w:rPr>
              <w:fldChar w:fldCharType="begin"/>
            </w:r>
            <w:r w:rsidR="007D2416" w:rsidRPr="007D2416">
              <w:rPr>
                <w:rFonts w:ascii="Arial" w:hAnsi="Arial" w:cs="Arial"/>
                <w:b/>
              </w:rPr>
              <w:instrText xml:space="preserve"> TC "</w:instrText>
            </w:r>
            <w:r w:rsidR="008923A1">
              <w:fldChar w:fldCharType="begin"/>
            </w:r>
            <w:r w:rsidR="008923A1">
              <w:instrText xml:space="preserve"> REF _NN15\r \h  \* MERGEFORMAT </w:instrText>
            </w:r>
            <w:r w:rsidR="008923A1">
              <w:fldChar w:fldCharType="separate"/>
            </w:r>
            <w:bookmarkStart w:id="4" w:name="_Toc293306509"/>
            <w:r w:rsidR="009248B4" w:rsidRPr="009248B4">
              <w:instrText>0</w:instrText>
            </w:r>
            <w:r w:rsidR="008923A1">
              <w:fldChar w:fldCharType="end"/>
            </w:r>
            <w:r w:rsidR="007D2416" w:rsidRPr="007D2416">
              <w:rPr>
                <w:rFonts w:ascii="Arial" w:hAnsi="Arial" w:cs="Arial"/>
                <w:b/>
              </w:rPr>
              <w:tab/>
              <w:instrText>Loss of Software and Data Security</w:instrText>
            </w:r>
            <w:bookmarkEnd w:id="4"/>
            <w:r w:rsidR="007D2416" w:rsidRPr="007D2416">
              <w:rPr>
                <w:rFonts w:ascii="Arial" w:hAnsi="Arial" w:cs="Arial"/>
                <w:b/>
              </w:rPr>
              <w:instrText xml:space="preserve">" \l 1 </w:instrText>
            </w:r>
            <w:r w:rsidR="003A4C51" w:rsidRPr="007D2416">
              <w:rPr>
                <w:rFonts w:ascii="Arial" w:hAnsi="Arial" w:cs="Arial"/>
                <w:b/>
              </w:rPr>
              <w:fldChar w:fldCharType="end"/>
            </w:r>
          </w:p>
          <w:p w:rsidR="007D2416" w:rsidRPr="005665A4" w:rsidRDefault="007D2416" w:rsidP="007D2416">
            <w:pPr>
              <w:rPr>
                <w:rFonts w:ascii="Arial" w:hAnsi="Arial" w:cs="Arial"/>
                <w:b/>
              </w:rPr>
            </w:pPr>
          </w:p>
        </w:tc>
        <w:tc>
          <w:tcPr>
            <w:tcW w:w="6911" w:type="dxa"/>
          </w:tcPr>
          <w:p w:rsidR="007D2416" w:rsidRDefault="007E435A" w:rsidP="00E36CC6">
            <w:pPr>
              <w:rPr>
                <w:rFonts w:ascii="Arial" w:hAnsi="Arial" w:cs="Arial"/>
              </w:rPr>
            </w:pPr>
            <w:r w:rsidRPr="00E36CC6">
              <w:rPr>
                <w:rFonts w:ascii="Arial" w:hAnsi="Arial" w:cs="Arial"/>
              </w:rPr>
              <w:t>Consider the</w:t>
            </w:r>
            <w:r>
              <w:rPr>
                <w:rFonts w:ascii="Arial" w:hAnsi="Arial" w:cs="Arial"/>
              </w:rPr>
              <w:t xml:space="preserve"> requirement for </w:t>
            </w:r>
            <w:r w:rsidRPr="00E36CC6">
              <w:rPr>
                <w:rFonts w:ascii="Arial" w:hAnsi="Arial" w:cs="Arial"/>
              </w:rPr>
              <w:t xml:space="preserve">any access </w:t>
            </w:r>
            <w:r>
              <w:rPr>
                <w:rFonts w:ascii="Arial" w:hAnsi="Arial" w:cs="Arial"/>
              </w:rPr>
              <w:t xml:space="preserve">to confidential/sensitive information </w:t>
            </w:r>
            <w:r w:rsidRPr="00E36CC6">
              <w:rPr>
                <w:rFonts w:ascii="Arial" w:hAnsi="Arial" w:cs="Arial"/>
              </w:rPr>
              <w:t>(including to computer systems)</w:t>
            </w:r>
            <w:r>
              <w:rPr>
                <w:rFonts w:ascii="Arial" w:hAnsi="Arial" w:cs="Arial"/>
              </w:rPr>
              <w:t xml:space="preserve"> and ensure this is covered here. </w:t>
            </w:r>
          </w:p>
          <w:p w:rsidR="00E36CC6" w:rsidRDefault="00E36CC6" w:rsidP="00E36CC6">
            <w:pPr>
              <w:rPr>
                <w:rFonts w:ascii="Arial" w:hAnsi="Arial" w:cs="Arial"/>
              </w:rPr>
            </w:pPr>
            <w:r>
              <w:rPr>
                <w:rFonts w:ascii="Arial" w:hAnsi="Arial" w:cs="Arial"/>
              </w:rPr>
              <w:t>More</w:t>
            </w:r>
            <w:r w:rsidRPr="00E36CC6">
              <w:rPr>
                <w:rFonts w:ascii="Arial" w:hAnsi="Arial" w:cs="Arial"/>
              </w:rPr>
              <w:t xml:space="preserve"> likely </w:t>
            </w:r>
            <w:r>
              <w:rPr>
                <w:rFonts w:ascii="Arial" w:hAnsi="Arial" w:cs="Arial"/>
              </w:rPr>
              <w:t xml:space="preserve">(but not exclusively) </w:t>
            </w:r>
            <w:r w:rsidRPr="00E36CC6">
              <w:rPr>
                <w:rFonts w:ascii="Arial" w:hAnsi="Arial" w:cs="Arial"/>
              </w:rPr>
              <w:t xml:space="preserve">to be appropriate if the Consultant has been engaged to perform consultancy services in relation to an IT project.  </w:t>
            </w:r>
          </w:p>
        </w:tc>
      </w:tr>
      <w:tr w:rsidR="00E36CC6" w:rsidRPr="00E36CC6" w:rsidTr="007A4331">
        <w:tc>
          <w:tcPr>
            <w:tcW w:w="2943" w:type="dxa"/>
          </w:tcPr>
          <w:p w:rsidR="00E36CC6" w:rsidRPr="007D2416" w:rsidRDefault="00E36CC6" w:rsidP="00D06C23">
            <w:pPr>
              <w:rPr>
                <w:rFonts w:ascii="Arial" w:hAnsi="Arial" w:cs="Arial"/>
                <w:b/>
              </w:rPr>
            </w:pPr>
            <w:r w:rsidRPr="00E36CC6">
              <w:rPr>
                <w:rFonts w:ascii="Arial" w:hAnsi="Arial" w:cs="Arial"/>
                <w:b/>
              </w:rPr>
              <w:t>1</w:t>
            </w:r>
            <w:r>
              <w:rPr>
                <w:rFonts w:ascii="Arial" w:hAnsi="Arial" w:cs="Arial"/>
                <w:b/>
              </w:rPr>
              <w:t>8</w:t>
            </w:r>
            <w:r w:rsidRPr="00E36CC6">
              <w:rPr>
                <w:rFonts w:ascii="Arial" w:hAnsi="Arial" w:cs="Arial"/>
                <w:b/>
              </w:rPr>
              <w:t>.</w:t>
            </w:r>
            <w:r>
              <w:rPr>
                <w:rFonts w:ascii="Arial" w:hAnsi="Arial" w:cs="Arial"/>
              </w:rPr>
              <w:t xml:space="preserve"> </w:t>
            </w:r>
            <w:r>
              <w:rPr>
                <w:rFonts w:ascii="Arial" w:hAnsi="Arial" w:cs="Arial"/>
                <w:b/>
              </w:rPr>
              <w:t>Computer Facilities</w:t>
            </w:r>
            <w:r w:rsidR="003A4C51" w:rsidRPr="007D2416">
              <w:rPr>
                <w:rFonts w:ascii="Arial" w:hAnsi="Arial" w:cs="Arial"/>
                <w:b/>
              </w:rPr>
              <w:fldChar w:fldCharType="begin"/>
            </w:r>
            <w:r w:rsidRPr="007D2416">
              <w:rPr>
                <w:rFonts w:ascii="Arial" w:hAnsi="Arial" w:cs="Arial"/>
                <w:b/>
              </w:rPr>
              <w:instrText xml:space="preserve"> TC "</w:instrText>
            </w:r>
            <w:r w:rsidR="008923A1">
              <w:fldChar w:fldCharType="begin"/>
            </w:r>
            <w:r w:rsidR="008923A1">
              <w:instrText xml:space="preserve"> REF _NN15\r \h  \* MERGEFORMAT </w:instrText>
            </w:r>
            <w:r w:rsidR="008923A1">
              <w:fldChar w:fldCharType="separate"/>
            </w:r>
            <w:r w:rsidR="009248B4" w:rsidRPr="009248B4">
              <w:instrText>0</w:instrText>
            </w:r>
            <w:r w:rsidR="008923A1">
              <w:fldChar w:fldCharType="end"/>
            </w:r>
            <w:r w:rsidRPr="007D2416">
              <w:rPr>
                <w:rFonts w:ascii="Arial" w:hAnsi="Arial" w:cs="Arial"/>
                <w:b/>
              </w:rPr>
              <w:tab/>
              <w:instrText xml:space="preserve">Loss of Software and Data Security" \l 1 </w:instrText>
            </w:r>
            <w:r w:rsidR="003A4C51" w:rsidRPr="007D2416">
              <w:rPr>
                <w:rFonts w:ascii="Arial" w:hAnsi="Arial" w:cs="Arial"/>
                <w:b/>
              </w:rPr>
              <w:fldChar w:fldCharType="end"/>
            </w:r>
          </w:p>
          <w:p w:rsidR="00E36CC6" w:rsidRPr="005665A4" w:rsidRDefault="00E36CC6" w:rsidP="00D06C23">
            <w:pPr>
              <w:rPr>
                <w:rFonts w:ascii="Arial" w:hAnsi="Arial" w:cs="Arial"/>
                <w:b/>
              </w:rPr>
            </w:pPr>
          </w:p>
        </w:tc>
        <w:tc>
          <w:tcPr>
            <w:tcW w:w="6911" w:type="dxa"/>
          </w:tcPr>
          <w:p w:rsidR="00E36CC6" w:rsidRDefault="00E36CC6" w:rsidP="00E36CC6">
            <w:pPr>
              <w:rPr>
                <w:rFonts w:ascii="Arial" w:hAnsi="Arial" w:cs="Arial"/>
              </w:rPr>
            </w:pPr>
            <w:r>
              <w:rPr>
                <w:rFonts w:ascii="Arial" w:hAnsi="Arial" w:cs="Arial"/>
              </w:rPr>
              <w:t>As ‘14’ above</w:t>
            </w:r>
          </w:p>
        </w:tc>
      </w:tr>
      <w:tr w:rsidR="00A20E1E" w:rsidRPr="008D0A09" w:rsidTr="007A4331">
        <w:tc>
          <w:tcPr>
            <w:tcW w:w="2943" w:type="dxa"/>
          </w:tcPr>
          <w:p w:rsidR="00A20E1E" w:rsidRPr="004F114B" w:rsidRDefault="00E36CC6">
            <w:pPr>
              <w:rPr>
                <w:rFonts w:ascii="Arial" w:hAnsi="Arial" w:cs="Arial"/>
                <w:b/>
              </w:rPr>
            </w:pPr>
            <w:r>
              <w:rPr>
                <w:rFonts w:ascii="Arial" w:hAnsi="Arial" w:cs="Arial"/>
                <w:b/>
              </w:rPr>
              <w:t>20</w:t>
            </w:r>
            <w:r w:rsidR="004F114B" w:rsidRPr="004F114B">
              <w:rPr>
                <w:rFonts w:ascii="Arial" w:hAnsi="Arial" w:cs="Arial"/>
                <w:b/>
              </w:rPr>
              <w:t>.</w:t>
            </w:r>
            <w:r>
              <w:t xml:space="preserve"> </w:t>
            </w:r>
            <w:r w:rsidRPr="00E36CC6">
              <w:rPr>
                <w:rFonts w:ascii="Arial" w:hAnsi="Arial" w:cs="Arial"/>
                <w:b/>
              </w:rPr>
              <w:t>Records, Audit, Inspection</w:t>
            </w:r>
          </w:p>
        </w:tc>
        <w:tc>
          <w:tcPr>
            <w:tcW w:w="6911" w:type="dxa"/>
          </w:tcPr>
          <w:p w:rsidR="00A20E1E" w:rsidRPr="008D0A09" w:rsidRDefault="00E36CC6" w:rsidP="00E36CC6">
            <w:pPr>
              <w:pStyle w:val="CommentText"/>
              <w:rPr>
                <w:rFonts w:ascii="Arial" w:hAnsi="Arial" w:cs="Arial"/>
              </w:rPr>
            </w:pPr>
            <w:r w:rsidRPr="00E36CC6">
              <w:rPr>
                <w:rFonts w:ascii="Arial" w:eastAsiaTheme="minorHAnsi" w:hAnsi="Arial" w:cs="Arial"/>
                <w:sz w:val="22"/>
                <w:szCs w:val="22"/>
                <w:lang w:eastAsia="en-US"/>
              </w:rPr>
              <w:t>Consider whether these provisions work in the context of the services</w:t>
            </w:r>
            <w:r>
              <w:rPr>
                <w:rFonts w:ascii="Arial" w:eastAsiaTheme="minorHAnsi" w:hAnsi="Arial" w:cs="Arial"/>
                <w:sz w:val="22"/>
                <w:szCs w:val="22"/>
                <w:lang w:eastAsia="en-US"/>
              </w:rPr>
              <w:t>.  Requirements for reporting may be included in Schedule 2.</w:t>
            </w:r>
          </w:p>
        </w:tc>
      </w:tr>
      <w:tr w:rsidR="00A20E1E" w:rsidRPr="008D0A09" w:rsidTr="007A4331">
        <w:tc>
          <w:tcPr>
            <w:tcW w:w="2943" w:type="dxa"/>
          </w:tcPr>
          <w:p w:rsidR="00A20E1E" w:rsidRPr="00522220" w:rsidRDefault="00A177A4" w:rsidP="00A177A4">
            <w:pPr>
              <w:rPr>
                <w:rFonts w:ascii="Arial" w:hAnsi="Arial" w:cs="Arial"/>
                <w:b/>
              </w:rPr>
            </w:pPr>
            <w:r>
              <w:rPr>
                <w:rFonts w:ascii="Arial" w:hAnsi="Arial" w:cs="Arial"/>
                <w:b/>
              </w:rPr>
              <w:t>21</w:t>
            </w:r>
            <w:r w:rsidR="00522220" w:rsidRPr="00522220">
              <w:rPr>
                <w:rFonts w:ascii="Arial" w:hAnsi="Arial" w:cs="Arial"/>
                <w:b/>
              </w:rPr>
              <w:t xml:space="preserve">. </w:t>
            </w:r>
            <w:r>
              <w:rPr>
                <w:rFonts w:ascii="Arial" w:hAnsi="Arial" w:cs="Arial"/>
                <w:b/>
              </w:rPr>
              <w:t>Insurance</w:t>
            </w:r>
          </w:p>
        </w:tc>
        <w:tc>
          <w:tcPr>
            <w:tcW w:w="6911" w:type="dxa"/>
          </w:tcPr>
          <w:p w:rsidR="00A20E1E" w:rsidRPr="008D0A09" w:rsidRDefault="0018786B" w:rsidP="00C63A3E">
            <w:pPr>
              <w:pStyle w:val="CommentText"/>
              <w:rPr>
                <w:rFonts w:ascii="Arial" w:hAnsi="Arial" w:cs="Arial"/>
              </w:rPr>
            </w:pPr>
            <w:r w:rsidRPr="0018786B">
              <w:rPr>
                <w:rFonts w:ascii="Arial" w:eastAsiaTheme="minorHAnsi" w:hAnsi="Arial" w:cs="Arial"/>
                <w:sz w:val="22"/>
                <w:szCs w:val="22"/>
                <w:lang w:eastAsia="en-US"/>
              </w:rPr>
              <w:t>Check whether levels requested are appropriate to value of contract/ level of risk</w:t>
            </w:r>
            <w:r>
              <w:rPr>
                <w:rFonts w:ascii="Arial" w:eastAsiaTheme="minorHAnsi" w:hAnsi="Arial" w:cs="Arial"/>
                <w:sz w:val="22"/>
                <w:szCs w:val="22"/>
                <w:lang w:eastAsia="en-US"/>
              </w:rPr>
              <w:t>. W</w:t>
            </w:r>
            <w:r w:rsidR="00A177A4" w:rsidRPr="00A177A4">
              <w:rPr>
                <w:rFonts w:ascii="Arial" w:eastAsiaTheme="minorHAnsi" w:hAnsi="Arial" w:cs="Arial"/>
                <w:sz w:val="22"/>
                <w:szCs w:val="22"/>
                <w:lang w:eastAsia="en-US"/>
              </w:rPr>
              <w:t xml:space="preserve">ere specific levels requested in the tender? If in doubt, refer to </w:t>
            </w:r>
            <w:hyperlink r:id="rId12" w:history="1">
              <w:r w:rsidR="00A177A4" w:rsidRPr="00C63A3E">
                <w:rPr>
                  <w:rStyle w:val="Hyperlink"/>
                  <w:rFonts w:ascii="Arial" w:eastAsiaTheme="minorHAnsi" w:hAnsi="Arial" w:cs="Arial"/>
                  <w:sz w:val="22"/>
                  <w:szCs w:val="22"/>
                  <w:lang w:eastAsia="en-US"/>
                </w:rPr>
                <w:t>Insurance office</w:t>
              </w:r>
            </w:hyperlink>
            <w:r w:rsidR="00A177A4">
              <w:rPr>
                <w:rFonts w:ascii="Arial" w:eastAsiaTheme="minorHAnsi" w:hAnsi="Arial" w:cs="Arial"/>
                <w:sz w:val="22"/>
                <w:szCs w:val="22"/>
                <w:lang w:eastAsia="en-US"/>
              </w:rPr>
              <w:t xml:space="preserve"> </w:t>
            </w:r>
          </w:p>
        </w:tc>
      </w:tr>
      <w:tr w:rsidR="00EE6D2E" w:rsidRPr="008D0A09" w:rsidTr="007A4331">
        <w:tc>
          <w:tcPr>
            <w:tcW w:w="2943" w:type="dxa"/>
          </w:tcPr>
          <w:p w:rsidR="00EE6D2E" w:rsidRPr="00E318A1" w:rsidRDefault="005F5021" w:rsidP="00EE6D2E">
            <w:pPr>
              <w:rPr>
                <w:rFonts w:ascii="Arial" w:hAnsi="Arial" w:cs="Arial"/>
                <w:b/>
              </w:rPr>
            </w:pPr>
            <w:r>
              <w:rPr>
                <w:rFonts w:ascii="Arial" w:hAnsi="Arial" w:cs="Arial"/>
                <w:b/>
              </w:rPr>
              <w:t>2</w:t>
            </w:r>
            <w:r w:rsidR="00EE6D2E">
              <w:rPr>
                <w:rFonts w:ascii="Arial" w:hAnsi="Arial" w:cs="Arial"/>
                <w:b/>
              </w:rPr>
              <w:t>2. Intellectual Property</w:t>
            </w:r>
          </w:p>
        </w:tc>
        <w:tc>
          <w:tcPr>
            <w:tcW w:w="6911" w:type="dxa"/>
          </w:tcPr>
          <w:p w:rsidR="00EE6D2E" w:rsidRDefault="00EE6D2E" w:rsidP="00F0141C">
            <w:pPr>
              <w:rPr>
                <w:rFonts w:ascii="Arial" w:hAnsi="Arial" w:cs="Arial"/>
              </w:rPr>
            </w:pPr>
            <w:r>
              <w:rPr>
                <w:rFonts w:ascii="Arial" w:hAnsi="Arial" w:cs="Arial"/>
              </w:rPr>
              <w:t xml:space="preserve">The clauses here are designed to accommodate the Intellectual Property requirements. Consider carefully against project requirements. </w:t>
            </w:r>
            <w:r w:rsidRPr="00A363CE">
              <w:rPr>
                <w:rFonts w:ascii="Arial" w:hAnsi="Arial" w:cs="Arial"/>
              </w:rPr>
              <w:t>Consider the extent to which these clauses are necessary based on the Services that the Consultant will be providing</w:t>
            </w:r>
            <w:r>
              <w:t>.</w:t>
            </w:r>
          </w:p>
        </w:tc>
      </w:tr>
      <w:tr w:rsidR="00A20E1E" w:rsidRPr="008D0A09" w:rsidTr="007A4331">
        <w:tc>
          <w:tcPr>
            <w:tcW w:w="2943" w:type="dxa"/>
          </w:tcPr>
          <w:p w:rsidR="00A20E1E" w:rsidRPr="00AE719F" w:rsidRDefault="004972B4" w:rsidP="004972B4">
            <w:pPr>
              <w:rPr>
                <w:rFonts w:ascii="Arial" w:hAnsi="Arial" w:cs="Arial"/>
                <w:b/>
              </w:rPr>
            </w:pPr>
            <w:r>
              <w:rPr>
                <w:rFonts w:ascii="Arial" w:hAnsi="Arial" w:cs="Arial"/>
                <w:b/>
              </w:rPr>
              <w:t>23</w:t>
            </w:r>
            <w:r w:rsidR="00AE719F" w:rsidRPr="00AE719F">
              <w:rPr>
                <w:rFonts w:ascii="Arial" w:hAnsi="Arial" w:cs="Arial"/>
                <w:b/>
              </w:rPr>
              <w:t xml:space="preserve"> </w:t>
            </w:r>
            <w:r>
              <w:rPr>
                <w:rFonts w:ascii="Arial" w:hAnsi="Arial" w:cs="Arial"/>
                <w:b/>
              </w:rPr>
              <w:t>Termination</w:t>
            </w:r>
          </w:p>
        </w:tc>
        <w:tc>
          <w:tcPr>
            <w:tcW w:w="6911" w:type="dxa"/>
          </w:tcPr>
          <w:p w:rsidR="00A20E1E" w:rsidRPr="008D0A09" w:rsidRDefault="004972B4" w:rsidP="00AE719F">
            <w:pPr>
              <w:rPr>
                <w:rFonts w:ascii="Arial" w:hAnsi="Arial" w:cs="Arial"/>
              </w:rPr>
            </w:pPr>
            <w:r w:rsidRPr="004972B4">
              <w:rPr>
                <w:rFonts w:ascii="Arial" w:hAnsi="Arial" w:cs="Arial"/>
              </w:rPr>
              <w:t>Consider what would be a reasonable notice period in the circumstances.</w:t>
            </w:r>
            <w:r>
              <w:rPr>
                <w:rFonts w:ascii="Arial" w:hAnsi="Arial" w:cs="Arial"/>
              </w:rPr>
              <w:t xml:space="preserve"> Default times can be used if meet the project needs.</w:t>
            </w:r>
          </w:p>
        </w:tc>
      </w:tr>
      <w:tr w:rsidR="004F5F66" w:rsidRPr="008D0A09" w:rsidTr="007A4331">
        <w:tc>
          <w:tcPr>
            <w:tcW w:w="2943" w:type="dxa"/>
          </w:tcPr>
          <w:p w:rsidR="004F5F66" w:rsidRPr="00355A81" w:rsidRDefault="004F5F66" w:rsidP="00F0141C">
            <w:pPr>
              <w:rPr>
                <w:rFonts w:ascii="Arial" w:hAnsi="Arial" w:cs="Arial"/>
                <w:b/>
              </w:rPr>
            </w:pPr>
            <w:r>
              <w:rPr>
                <w:rFonts w:ascii="Arial" w:hAnsi="Arial" w:cs="Arial"/>
                <w:b/>
              </w:rPr>
              <w:t>3</w:t>
            </w:r>
            <w:r w:rsidRPr="00355A81">
              <w:rPr>
                <w:rFonts w:ascii="Arial" w:hAnsi="Arial" w:cs="Arial"/>
                <w:b/>
              </w:rPr>
              <w:t>4. Dispute Resolution</w:t>
            </w:r>
          </w:p>
        </w:tc>
        <w:tc>
          <w:tcPr>
            <w:tcW w:w="6911" w:type="dxa"/>
          </w:tcPr>
          <w:p w:rsidR="004F5F66" w:rsidRPr="008D0A09" w:rsidRDefault="004F5F66" w:rsidP="00F0141C">
            <w:pPr>
              <w:rPr>
                <w:rFonts w:ascii="Arial" w:hAnsi="Arial" w:cs="Arial"/>
              </w:rPr>
            </w:pPr>
            <w:r>
              <w:rPr>
                <w:rFonts w:ascii="Arial" w:hAnsi="Arial" w:cs="Arial"/>
              </w:rPr>
              <w:t xml:space="preserve">For more complex contract it is important to have a procedure for Dispute Resolution in place. Consider carefully who will be involved in this process and include in the Terms and Conditions </w:t>
            </w:r>
          </w:p>
        </w:tc>
      </w:tr>
    </w:tbl>
    <w:p w:rsidR="00A20E1E" w:rsidRDefault="00A20E1E"/>
    <w:p w:rsidR="007A3758" w:rsidRDefault="007A3758" w:rsidP="006724AC">
      <w:pPr>
        <w:pStyle w:val="CommentText"/>
        <w:rPr>
          <w:b/>
          <w:color w:val="FF0000"/>
          <w:u w:val="single"/>
        </w:rPr>
      </w:pPr>
    </w:p>
    <w:p w:rsidR="00C548A3" w:rsidRDefault="00C548A3">
      <w:pPr>
        <w:rPr>
          <w:rFonts w:ascii="Arial" w:hAnsi="Arial" w:cs="Arial"/>
          <w:u w:val="single"/>
        </w:rPr>
      </w:pPr>
    </w:p>
    <w:p w:rsidR="00C548A3" w:rsidRPr="002E2A9B" w:rsidRDefault="00C548A3" w:rsidP="00C548A3">
      <w:pPr>
        <w:pStyle w:val="Body"/>
        <w:spacing w:after="0" w:line="240" w:lineRule="auto"/>
        <w:jc w:val="left"/>
        <w:rPr>
          <w:rFonts w:ascii="Arial" w:hAnsi="Arial" w:cs="Arial"/>
        </w:rPr>
      </w:pPr>
      <w:r w:rsidRPr="002E2A9B">
        <w:rPr>
          <w:rFonts w:ascii="Arial" w:hAnsi="Arial" w:cs="Arial"/>
          <w:b/>
        </w:rPr>
        <w:t>NB: TUPE</w:t>
      </w:r>
      <w:r>
        <w:rPr>
          <w:rFonts w:ascii="Arial" w:hAnsi="Arial" w:cs="Arial"/>
        </w:rPr>
        <w:t xml:space="preserve"> - </w:t>
      </w:r>
      <w:r w:rsidRPr="00C548A3">
        <w:rPr>
          <w:rFonts w:ascii="Arial" w:eastAsiaTheme="minorHAnsi" w:hAnsi="Arial" w:cs="Arial"/>
          <w:sz w:val="22"/>
          <w:szCs w:val="22"/>
          <w:lang w:eastAsia="en-US"/>
        </w:rPr>
        <w:t xml:space="preserve">The Transfer of Undertakings (Protection of Employment) Regulations (TUPE) protects employees' terms and conditions of employment when a business is transferred from one owner to </w:t>
      </w:r>
      <w:r w:rsidRPr="00C548A3">
        <w:rPr>
          <w:rFonts w:ascii="Arial" w:eastAsiaTheme="minorHAnsi" w:hAnsi="Arial" w:cs="Arial"/>
          <w:sz w:val="22"/>
          <w:szCs w:val="22"/>
          <w:lang w:eastAsia="en-US"/>
        </w:rPr>
        <w:lastRenderedPageBreak/>
        <w:t xml:space="preserve">another. Please consider carefully and seek advice where employees of the previous provider may be employed on the same contract with the new provider. If you consider that you contract has an element of TUPE please use the </w:t>
      </w:r>
      <w:hyperlink r:id="rId13" w:history="1">
        <w:r w:rsidRPr="00C63A3E">
          <w:rPr>
            <w:rStyle w:val="Hyperlink"/>
            <w:rFonts w:ascii="Arial" w:eastAsiaTheme="minorHAnsi" w:hAnsi="Arial" w:cs="Arial"/>
            <w:sz w:val="22"/>
            <w:szCs w:val="22"/>
            <w:lang w:eastAsia="en-US"/>
          </w:rPr>
          <w:t>Standard Terms and Conditions for the Purchase Of Consultancy (Long Form</w:t>
        </w:r>
        <w:r w:rsidR="00C63A3E" w:rsidRPr="00C63A3E">
          <w:rPr>
            <w:rStyle w:val="Hyperlink"/>
            <w:rFonts w:ascii="Arial" w:eastAsiaTheme="minorHAnsi" w:hAnsi="Arial" w:cs="Arial"/>
            <w:sz w:val="22"/>
            <w:szCs w:val="22"/>
            <w:lang w:eastAsia="en-US"/>
          </w:rPr>
          <w:t>)</w:t>
        </w:r>
      </w:hyperlink>
    </w:p>
    <w:p w:rsidR="00C548A3" w:rsidRDefault="00C548A3">
      <w:pPr>
        <w:rPr>
          <w:rFonts w:ascii="Arial" w:hAnsi="Arial" w:cs="Arial"/>
          <w:u w:val="single"/>
        </w:rPr>
      </w:pPr>
    </w:p>
    <w:p w:rsidR="008D0A09" w:rsidRDefault="008D0A09">
      <w:pPr>
        <w:rPr>
          <w:rFonts w:ascii="Arial" w:hAnsi="Arial" w:cs="Arial"/>
          <w:u w:val="single"/>
        </w:rPr>
      </w:pPr>
      <w:r w:rsidRPr="008D0A09">
        <w:rPr>
          <w:rFonts w:ascii="Arial" w:hAnsi="Arial" w:cs="Arial"/>
          <w:u w:val="single"/>
        </w:rPr>
        <w:t>Schedules</w:t>
      </w:r>
    </w:p>
    <w:p w:rsidR="006B62F0" w:rsidRPr="00D6196F" w:rsidRDefault="006B62F0">
      <w:pPr>
        <w:rPr>
          <w:rFonts w:ascii="Arial" w:hAnsi="Arial" w:cs="Arial"/>
        </w:rPr>
      </w:pPr>
    </w:p>
    <w:p w:rsidR="008D0A09" w:rsidRDefault="00D6196F">
      <w:pPr>
        <w:rPr>
          <w:rFonts w:ascii="Arial" w:hAnsi="Arial" w:cs="Arial"/>
        </w:rPr>
      </w:pPr>
      <w:r w:rsidRPr="00D6196F">
        <w:rPr>
          <w:rFonts w:ascii="Arial" w:hAnsi="Arial" w:cs="Arial"/>
        </w:rPr>
        <w:t xml:space="preserve">The schedules are designed to </w:t>
      </w:r>
      <w:r w:rsidRPr="009904AB">
        <w:rPr>
          <w:rFonts w:ascii="Arial" w:hAnsi="Arial" w:cs="Arial"/>
          <w:i/>
        </w:rPr>
        <w:t>firm up</w:t>
      </w:r>
      <w:r>
        <w:rPr>
          <w:rFonts w:ascii="Arial" w:hAnsi="Arial" w:cs="Arial"/>
        </w:rPr>
        <w:t xml:space="preserve"> the agreement once the contract has been won (a successful bidder at tender stage).  The Schedules should prevent an</w:t>
      </w:r>
      <w:r w:rsidR="00C70515">
        <w:rPr>
          <w:rFonts w:ascii="Arial" w:hAnsi="Arial" w:cs="Arial"/>
        </w:rPr>
        <w:t>y</w:t>
      </w:r>
      <w:r>
        <w:rPr>
          <w:rFonts w:ascii="Arial" w:hAnsi="Arial" w:cs="Arial"/>
        </w:rPr>
        <w:t xml:space="preserve"> misconceptions about contract delivery and assist contract management</w:t>
      </w:r>
      <w:r w:rsidR="00A370CC">
        <w:rPr>
          <w:rFonts w:ascii="Arial" w:hAnsi="Arial" w:cs="Arial"/>
        </w:rPr>
        <w:t>. Potential suppliers should be asked to provide these as part of the tender process.</w:t>
      </w:r>
    </w:p>
    <w:p w:rsidR="00D6196F" w:rsidRDefault="00D6196F">
      <w:pPr>
        <w:rPr>
          <w:rFonts w:ascii="Arial" w:hAnsi="Arial" w:cs="Arial"/>
        </w:rPr>
      </w:pPr>
    </w:p>
    <w:tbl>
      <w:tblPr>
        <w:tblStyle w:val="TableGrid"/>
        <w:tblW w:w="0" w:type="auto"/>
        <w:tblLook w:val="04A0" w:firstRow="1" w:lastRow="0" w:firstColumn="1" w:lastColumn="0" w:noHBand="0" w:noVBand="1"/>
      </w:tblPr>
      <w:tblGrid>
        <w:gridCol w:w="3085"/>
        <w:gridCol w:w="6769"/>
      </w:tblGrid>
      <w:tr w:rsidR="008D0A09" w:rsidRPr="008D0A09" w:rsidTr="00C75CC2">
        <w:tc>
          <w:tcPr>
            <w:tcW w:w="3085" w:type="dxa"/>
          </w:tcPr>
          <w:p w:rsidR="008D0A09" w:rsidRPr="008D0A09" w:rsidRDefault="006E58B9" w:rsidP="006E58B9">
            <w:pPr>
              <w:jc w:val="left"/>
              <w:rPr>
                <w:rFonts w:ascii="Arial" w:hAnsi="Arial" w:cs="Arial"/>
              </w:rPr>
            </w:pPr>
            <w:r>
              <w:rPr>
                <w:rStyle w:val="Level1asHeadingtext"/>
                <w:rFonts w:ascii="Arial" w:hAnsi="Arial" w:cs="Arial"/>
              </w:rPr>
              <w:t>Schedule 1:</w:t>
            </w:r>
            <w:r w:rsidR="005665A4">
              <w:rPr>
                <w:rStyle w:val="Level1asHeadingtext"/>
                <w:rFonts w:ascii="Arial" w:hAnsi="Arial" w:cs="Arial"/>
              </w:rPr>
              <w:t xml:space="preserve"> Price</w:t>
            </w:r>
            <w:r w:rsidR="00FC5D10">
              <w:rPr>
                <w:rStyle w:val="Level1asHeadingtext"/>
                <w:rFonts w:ascii="Arial" w:hAnsi="Arial" w:cs="Arial"/>
              </w:rPr>
              <w:t xml:space="preserve"> &amp; Payment</w:t>
            </w:r>
            <w:r w:rsidR="005665A4">
              <w:rPr>
                <w:rStyle w:val="Level1asHeadingtext"/>
                <w:rFonts w:ascii="Arial" w:hAnsi="Arial" w:cs="Arial"/>
              </w:rPr>
              <w:t xml:space="preserve"> Schedule</w:t>
            </w:r>
          </w:p>
        </w:tc>
        <w:tc>
          <w:tcPr>
            <w:tcW w:w="6769" w:type="dxa"/>
          </w:tcPr>
          <w:p w:rsidR="00A370CC" w:rsidRDefault="00A370CC" w:rsidP="00817721">
            <w:pPr>
              <w:rPr>
                <w:rFonts w:ascii="Arial" w:hAnsi="Arial" w:cs="Arial"/>
              </w:rPr>
            </w:pPr>
            <w:r>
              <w:rPr>
                <w:rFonts w:ascii="Arial" w:hAnsi="Arial" w:cs="Arial"/>
              </w:rPr>
              <w:t>The inclusion of a Price Schedule o</w:t>
            </w:r>
            <w:r w:rsidR="009904AB">
              <w:rPr>
                <w:rFonts w:ascii="Arial" w:hAnsi="Arial" w:cs="Arial"/>
              </w:rPr>
              <w:t>n</w:t>
            </w:r>
            <w:r>
              <w:rPr>
                <w:rFonts w:ascii="Arial" w:hAnsi="Arial" w:cs="Arial"/>
              </w:rPr>
              <w:t xml:space="preserve"> the basis of the winning tender will enable contract managers to check actually prices with those agreed</w:t>
            </w:r>
            <w:r w:rsidR="00941F5B">
              <w:rPr>
                <w:rFonts w:ascii="Arial" w:hAnsi="Arial" w:cs="Arial"/>
              </w:rPr>
              <w:t xml:space="preserve"> for the services identified in the tender</w:t>
            </w:r>
            <w:r w:rsidR="00084674">
              <w:rPr>
                <w:rFonts w:ascii="Arial" w:hAnsi="Arial" w:cs="Arial"/>
              </w:rPr>
              <w:t>.</w:t>
            </w:r>
            <w:r w:rsidR="00817721">
              <w:rPr>
                <w:rFonts w:ascii="Arial" w:hAnsi="Arial" w:cs="Arial"/>
              </w:rPr>
              <w:t xml:space="preserve"> Make sure that additional expenses/costs are clearly identified (e.g. travel/subsistence, training/implementation, out-of-hours/urgent work, </w:t>
            </w:r>
            <w:r w:rsidR="00817721" w:rsidRPr="00817721">
              <w:rPr>
                <w:rFonts w:ascii="Arial" w:hAnsi="Arial" w:cs="Arial"/>
              </w:rPr>
              <w:t>accommodation and other expenses</w:t>
            </w:r>
            <w:r w:rsidR="00817721">
              <w:rPr>
                <w:rFonts w:ascii="Arial" w:hAnsi="Arial" w:cs="Arial"/>
              </w:rPr>
              <w:t xml:space="preserve"> additional resources).</w:t>
            </w:r>
          </w:p>
          <w:p w:rsidR="00FC5D10" w:rsidRDefault="00FC5D10" w:rsidP="00817721">
            <w:pPr>
              <w:rPr>
                <w:rFonts w:ascii="Arial" w:hAnsi="Arial" w:cs="Arial"/>
              </w:rPr>
            </w:pPr>
          </w:p>
          <w:p w:rsidR="00FC5D10" w:rsidRPr="008D0A09" w:rsidRDefault="00FC5D10" w:rsidP="00FC5D10">
            <w:pPr>
              <w:pStyle w:val="CommentText"/>
              <w:rPr>
                <w:rFonts w:ascii="Arial" w:hAnsi="Arial" w:cs="Arial"/>
              </w:rPr>
            </w:pPr>
            <w:r w:rsidRPr="00DE5DF2">
              <w:rPr>
                <w:rFonts w:ascii="Arial" w:eastAsiaTheme="minorHAnsi" w:hAnsi="Arial" w:cs="Arial"/>
                <w:sz w:val="22"/>
                <w:szCs w:val="22"/>
                <w:lang w:eastAsia="en-US"/>
              </w:rPr>
              <w:t xml:space="preserve">Consider whether </w:t>
            </w:r>
            <w:r>
              <w:rPr>
                <w:rFonts w:ascii="Arial" w:eastAsiaTheme="minorHAnsi" w:hAnsi="Arial" w:cs="Arial"/>
                <w:sz w:val="22"/>
                <w:szCs w:val="22"/>
                <w:lang w:eastAsia="en-US"/>
              </w:rPr>
              <w:t xml:space="preserve">a separate </w:t>
            </w:r>
            <w:r w:rsidR="00084674">
              <w:rPr>
                <w:rFonts w:ascii="Arial" w:eastAsiaTheme="minorHAnsi" w:hAnsi="Arial" w:cs="Arial"/>
                <w:sz w:val="22"/>
                <w:szCs w:val="22"/>
                <w:lang w:eastAsia="en-US"/>
              </w:rPr>
              <w:t xml:space="preserve">Payments </w:t>
            </w:r>
            <w:r w:rsidR="00084674" w:rsidRPr="00DE5DF2">
              <w:rPr>
                <w:rFonts w:ascii="Arial" w:eastAsiaTheme="minorHAnsi" w:hAnsi="Arial" w:cs="Arial"/>
                <w:sz w:val="22"/>
                <w:szCs w:val="22"/>
                <w:lang w:eastAsia="en-US"/>
              </w:rPr>
              <w:t>section</w:t>
            </w:r>
            <w:r w:rsidRPr="00DE5DF2">
              <w:rPr>
                <w:rFonts w:ascii="Arial" w:eastAsiaTheme="minorHAnsi" w:hAnsi="Arial" w:cs="Arial"/>
                <w:sz w:val="22"/>
                <w:szCs w:val="22"/>
                <w:lang w:eastAsia="en-US"/>
              </w:rPr>
              <w:t xml:space="preserve"> is needed in the circumstances e.g. in relation to the guidance (above) for </w:t>
            </w:r>
            <w:r>
              <w:rPr>
                <w:rFonts w:ascii="Arial" w:eastAsiaTheme="minorHAnsi" w:hAnsi="Arial" w:cs="Arial"/>
                <w:sz w:val="22"/>
                <w:szCs w:val="22"/>
                <w:lang w:eastAsia="en-US"/>
              </w:rPr>
              <w:t>‘</w:t>
            </w:r>
            <w:r w:rsidRPr="00DE5DF2">
              <w:rPr>
                <w:rFonts w:ascii="Arial" w:eastAsiaTheme="minorHAnsi" w:hAnsi="Arial" w:cs="Arial"/>
                <w:sz w:val="22"/>
                <w:szCs w:val="22"/>
                <w:lang w:eastAsia="en-US"/>
              </w:rPr>
              <w:t>Definitions and Interpretation</w:t>
            </w:r>
            <w:r>
              <w:rPr>
                <w:rFonts w:ascii="Arial" w:eastAsiaTheme="minorHAnsi" w:hAnsi="Arial" w:cs="Arial"/>
                <w:sz w:val="22"/>
                <w:szCs w:val="22"/>
                <w:lang w:eastAsia="en-US"/>
              </w:rPr>
              <w:t>’</w:t>
            </w:r>
            <w:r w:rsidRPr="00DE5DF2">
              <w:rPr>
                <w:rFonts w:ascii="Arial" w:eastAsiaTheme="minorHAnsi" w:hAnsi="Arial" w:cs="Arial"/>
                <w:sz w:val="22"/>
                <w:szCs w:val="22"/>
                <w:lang w:eastAsia="en-US"/>
              </w:rPr>
              <w:t xml:space="preserve"> and </w:t>
            </w:r>
            <w:r>
              <w:rPr>
                <w:rFonts w:ascii="Arial" w:eastAsiaTheme="minorHAnsi" w:hAnsi="Arial" w:cs="Arial"/>
                <w:sz w:val="22"/>
                <w:szCs w:val="22"/>
                <w:lang w:eastAsia="en-US"/>
              </w:rPr>
              <w:t>Clause 6 ‘</w:t>
            </w:r>
            <w:r w:rsidRPr="00DE5DF2">
              <w:rPr>
                <w:rFonts w:ascii="Arial" w:eastAsiaTheme="minorHAnsi" w:hAnsi="Arial" w:cs="Arial"/>
                <w:sz w:val="22"/>
                <w:szCs w:val="22"/>
                <w:lang w:eastAsia="en-US"/>
              </w:rPr>
              <w:t>Payment</w:t>
            </w:r>
            <w:r>
              <w:rPr>
                <w:rFonts w:ascii="Arial" w:eastAsiaTheme="minorHAnsi" w:hAnsi="Arial" w:cs="Arial"/>
                <w:sz w:val="22"/>
                <w:szCs w:val="22"/>
                <w:lang w:eastAsia="en-US"/>
              </w:rPr>
              <w:t xml:space="preserve">’ (where a schedule is available </w:t>
            </w:r>
            <w:r w:rsidR="00084674">
              <w:rPr>
                <w:rFonts w:ascii="Arial" w:eastAsiaTheme="minorHAnsi" w:hAnsi="Arial" w:cs="Arial"/>
                <w:sz w:val="22"/>
                <w:szCs w:val="22"/>
                <w:lang w:eastAsia="en-US"/>
              </w:rPr>
              <w:t xml:space="preserve">and </w:t>
            </w:r>
            <w:r w:rsidR="00084674" w:rsidRPr="00DE5DF2">
              <w:rPr>
                <w:rFonts w:ascii="Arial" w:eastAsiaTheme="minorHAnsi" w:hAnsi="Arial" w:cs="Arial"/>
                <w:sz w:val="22"/>
                <w:szCs w:val="22"/>
                <w:lang w:eastAsia="en-US"/>
              </w:rPr>
              <w:t>important</w:t>
            </w:r>
            <w:r>
              <w:rPr>
                <w:rFonts w:ascii="Arial" w:eastAsiaTheme="minorHAnsi" w:hAnsi="Arial" w:cs="Arial"/>
                <w:sz w:val="22"/>
                <w:szCs w:val="22"/>
                <w:lang w:eastAsia="en-US"/>
              </w:rPr>
              <w:t xml:space="preserve"> in contract terms.</w:t>
            </w:r>
          </w:p>
        </w:tc>
      </w:tr>
      <w:tr w:rsidR="008D0A09" w:rsidRPr="008D0A09" w:rsidTr="00C75CC2">
        <w:tc>
          <w:tcPr>
            <w:tcW w:w="3085" w:type="dxa"/>
          </w:tcPr>
          <w:p w:rsidR="008D0A09" w:rsidRPr="008D0A09" w:rsidRDefault="00A5376B" w:rsidP="00E2161B">
            <w:pPr>
              <w:rPr>
                <w:rFonts w:ascii="Arial" w:hAnsi="Arial" w:cs="Arial"/>
              </w:rPr>
            </w:pPr>
            <w:r>
              <w:rPr>
                <w:rStyle w:val="Level1asHeadingtext"/>
                <w:rFonts w:ascii="Arial" w:hAnsi="Arial" w:cs="Arial"/>
              </w:rPr>
              <w:t xml:space="preserve">Schedule </w:t>
            </w:r>
            <w:r w:rsidR="00E2161B">
              <w:rPr>
                <w:rStyle w:val="Level1asHeadingtext"/>
                <w:rFonts w:ascii="Arial" w:hAnsi="Arial" w:cs="Arial"/>
              </w:rPr>
              <w:t>2: Key performance Indicators (KPIs)</w:t>
            </w:r>
          </w:p>
        </w:tc>
        <w:tc>
          <w:tcPr>
            <w:tcW w:w="6769" w:type="dxa"/>
          </w:tcPr>
          <w:p w:rsidR="00E2161B" w:rsidRDefault="00500488" w:rsidP="00500488">
            <w:pPr>
              <w:pStyle w:val="style31"/>
            </w:pPr>
            <w:r w:rsidRPr="00500488">
              <w:rPr>
                <w:rFonts w:eastAsiaTheme="minorHAnsi"/>
                <w:color w:val="auto"/>
                <w:sz w:val="22"/>
                <w:szCs w:val="22"/>
                <w:lang w:eastAsia="en-US"/>
              </w:rPr>
              <w:t>KPIs will allow the contract manager to assess the delivery of the contract</w:t>
            </w:r>
            <w:r>
              <w:rPr>
                <w:rFonts w:eastAsiaTheme="minorHAnsi"/>
                <w:color w:val="auto"/>
                <w:sz w:val="22"/>
                <w:szCs w:val="22"/>
                <w:lang w:eastAsia="en-US"/>
              </w:rPr>
              <w:t xml:space="preserve">. For further advice on </w:t>
            </w:r>
            <w:hyperlink r:id="rId14" w:history="1">
              <w:r w:rsidRPr="00E2161B">
                <w:rPr>
                  <w:rFonts w:eastAsiaTheme="minorHAnsi"/>
                  <w:color w:val="auto"/>
                  <w:sz w:val="22"/>
                  <w:szCs w:val="22"/>
                  <w:lang w:eastAsia="en-US"/>
                </w:rPr>
                <w:t>Assessing Supplier Performance</w:t>
              </w:r>
            </w:hyperlink>
            <w:r>
              <w:rPr>
                <w:rFonts w:eastAsiaTheme="minorHAnsi"/>
                <w:color w:val="auto"/>
                <w:sz w:val="22"/>
                <w:szCs w:val="22"/>
                <w:lang w:eastAsia="en-US"/>
              </w:rPr>
              <w:t xml:space="preserve"> visit</w:t>
            </w:r>
            <w:r w:rsidRPr="00CE1264">
              <w:rPr>
                <w:rFonts w:eastAsiaTheme="minorHAnsi"/>
                <w:color w:val="auto"/>
                <w:sz w:val="22"/>
                <w:szCs w:val="22"/>
                <w:lang w:eastAsia="en-US"/>
              </w:rPr>
              <w:t xml:space="preserve"> </w:t>
            </w:r>
            <w:hyperlink r:id="rId15" w:history="1">
              <w:r w:rsidR="00C63A3E" w:rsidRPr="00E931F0">
                <w:rPr>
                  <w:rStyle w:val="Hyperlink"/>
                  <w:sz w:val="22"/>
                  <w:szCs w:val="22"/>
                  <w:lang w:eastAsia="en-US"/>
                </w:rPr>
                <w:t>Good Practice 4</w:t>
              </w:r>
            </w:hyperlink>
            <w:r w:rsidR="00C63A3E">
              <w:rPr>
                <w:sz w:val="22"/>
                <w:szCs w:val="22"/>
                <w:lang w:eastAsia="en-US"/>
              </w:rPr>
              <w:t>.</w:t>
            </w:r>
          </w:p>
          <w:p w:rsidR="00E2161B" w:rsidRDefault="00E2161B" w:rsidP="00C75CC2">
            <w:pPr>
              <w:rPr>
                <w:rFonts w:ascii="Arial" w:hAnsi="Arial" w:cs="Arial"/>
              </w:rPr>
            </w:pPr>
          </w:p>
          <w:p w:rsidR="007D0803" w:rsidRDefault="006A21EE" w:rsidP="00C75CC2">
            <w:pPr>
              <w:rPr>
                <w:rFonts w:ascii="Arial" w:hAnsi="Arial" w:cs="Arial"/>
              </w:rPr>
            </w:pPr>
            <w:r w:rsidRPr="006A21EE">
              <w:rPr>
                <w:rFonts w:ascii="Arial" w:hAnsi="Arial" w:cs="Arial"/>
              </w:rPr>
              <w:t xml:space="preserve">Consider </w:t>
            </w:r>
            <w:r>
              <w:rPr>
                <w:rFonts w:ascii="Arial" w:hAnsi="Arial" w:cs="Arial"/>
              </w:rPr>
              <w:t xml:space="preserve">things like the </w:t>
            </w:r>
            <w:r w:rsidRPr="006A21EE">
              <w:rPr>
                <w:rFonts w:ascii="Arial" w:hAnsi="Arial" w:cs="Arial"/>
              </w:rPr>
              <w:t>requirements for regular r</w:t>
            </w:r>
            <w:r w:rsidR="007D0803" w:rsidRPr="006A21EE">
              <w:rPr>
                <w:rFonts w:ascii="Arial" w:hAnsi="Arial" w:cs="Arial"/>
              </w:rPr>
              <w:t xml:space="preserve">eports </w:t>
            </w:r>
            <w:r w:rsidRPr="006A21EE">
              <w:rPr>
                <w:rFonts w:ascii="Arial" w:hAnsi="Arial" w:cs="Arial"/>
              </w:rPr>
              <w:t>to allow evaluation of how the contract</w:t>
            </w:r>
            <w:r>
              <w:rPr>
                <w:rFonts w:ascii="Arial" w:hAnsi="Arial" w:cs="Arial"/>
              </w:rPr>
              <w:t>or</w:t>
            </w:r>
            <w:r w:rsidRPr="006A21EE">
              <w:rPr>
                <w:rFonts w:ascii="Arial" w:hAnsi="Arial" w:cs="Arial"/>
              </w:rPr>
              <w:t xml:space="preserve"> is </w:t>
            </w:r>
            <w:r>
              <w:rPr>
                <w:rFonts w:ascii="Arial" w:hAnsi="Arial" w:cs="Arial"/>
              </w:rPr>
              <w:t>performing.</w:t>
            </w:r>
          </w:p>
          <w:p w:rsidR="007D0803" w:rsidRPr="008D0A09" w:rsidRDefault="007D0803" w:rsidP="00C75CC2">
            <w:pPr>
              <w:rPr>
                <w:rFonts w:ascii="Arial" w:hAnsi="Arial" w:cs="Arial"/>
              </w:rPr>
            </w:pPr>
          </w:p>
        </w:tc>
      </w:tr>
      <w:tr w:rsidR="008D0A09" w:rsidRPr="008D0A09" w:rsidTr="00C75CC2">
        <w:tc>
          <w:tcPr>
            <w:tcW w:w="3085" w:type="dxa"/>
          </w:tcPr>
          <w:p w:rsidR="008D0A09" w:rsidRPr="008D0A09" w:rsidRDefault="00A5376B" w:rsidP="009F53AA">
            <w:pPr>
              <w:rPr>
                <w:rFonts w:ascii="Arial" w:hAnsi="Arial" w:cs="Arial"/>
              </w:rPr>
            </w:pPr>
            <w:r>
              <w:rPr>
                <w:rStyle w:val="Level1asHeadingtext"/>
                <w:rFonts w:ascii="Arial" w:hAnsi="Arial" w:cs="Arial"/>
              </w:rPr>
              <w:t xml:space="preserve">Schedule </w:t>
            </w:r>
            <w:r w:rsidR="009F53AA">
              <w:rPr>
                <w:rStyle w:val="Level1asHeadingtext"/>
                <w:rFonts w:ascii="Arial" w:hAnsi="Arial" w:cs="Arial"/>
              </w:rPr>
              <w:t>3: Project Plan</w:t>
            </w:r>
          </w:p>
        </w:tc>
        <w:tc>
          <w:tcPr>
            <w:tcW w:w="6769" w:type="dxa"/>
          </w:tcPr>
          <w:p w:rsidR="00DE5DF2" w:rsidRPr="00DE5DF2" w:rsidRDefault="00A370CC" w:rsidP="00DE5DF2">
            <w:pPr>
              <w:pStyle w:val="CommentText"/>
              <w:rPr>
                <w:rFonts w:ascii="Arial" w:eastAsiaTheme="minorHAnsi" w:hAnsi="Arial" w:cs="Arial"/>
                <w:sz w:val="22"/>
                <w:szCs w:val="22"/>
                <w:lang w:eastAsia="en-US"/>
              </w:rPr>
            </w:pPr>
            <w:r w:rsidRPr="00DE5DF2">
              <w:rPr>
                <w:rFonts w:ascii="Arial" w:eastAsiaTheme="minorHAnsi" w:hAnsi="Arial" w:cs="Arial"/>
                <w:sz w:val="22"/>
                <w:szCs w:val="22"/>
                <w:lang w:eastAsia="en-US"/>
              </w:rPr>
              <w:t xml:space="preserve">More complex projects will require a detailed </w:t>
            </w:r>
            <w:r w:rsidR="00CE1264" w:rsidRPr="00DE5DF2">
              <w:rPr>
                <w:rFonts w:ascii="Arial" w:eastAsiaTheme="minorHAnsi" w:hAnsi="Arial" w:cs="Arial"/>
                <w:sz w:val="22"/>
                <w:szCs w:val="22"/>
                <w:lang w:eastAsia="en-US"/>
              </w:rPr>
              <w:t>P</w:t>
            </w:r>
            <w:r w:rsidRPr="00DE5DF2">
              <w:rPr>
                <w:rFonts w:ascii="Arial" w:eastAsiaTheme="minorHAnsi" w:hAnsi="Arial" w:cs="Arial"/>
                <w:sz w:val="22"/>
                <w:szCs w:val="22"/>
                <w:lang w:eastAsia="en-US"/>
              </w:rPr>
              <w:t xml:space="preserve">roject </w:t>
            </w:r>
            <w:r w:rsidR="00CE1264" w:rsidRPr="00DE5DF2">
              <w:rPr>
                <w:rFonts w:ascii="Arial" w:eastAsiaTheme="minorHAnsi" w:hAnsi="Arial" w:cs="Arial"/>
                <w:sz w:val="22"/>
                <w:szCs w:val="22"/>
                <w:lang w:eastAsia="en-US"/>
              </w:rPr>
              <w:t>P</w:t>
            </w:r>
            <w:r w:rsidRPr="00DE5DF2">
              <w:rPr>
                <w:rFonts w:ascii="Arial" w:eastAsiaTheme="minorHAnsi" w:hAnsi="Arial" w:cs="Arial"/>
                <w:sz w:val="22"/>
                <w:szCs w:val="22"/>
                <w:lang w:eastAsia="en-US"/>
              </w:rPr>
              <w:t>lan that agrees progress at the key stages</w:t>
            </w:r>
            <w:r w:rsidR="00CE1264" w:rsidRPr="00DE5DF2">
              <w:rPr>
                <w:rFonts w:ascii="Arial" w:eastAsiaTheme="minorHAnsi" w:hAnsi="Arial" w:cs="Arial"/>
                <w:sz w:val="22"/>
                <w:szCs w:val="22"/>
                <w:lang w:eastAsia="en-US"/>
              </w:rPr>
              <w:t>.</w:t>
            </w:r>
            <w:r w:rsidR="00DE5DF2" w:rsidRPr="00DE5DF2">
              <w:rPr>
                <w:rFonts w:ascii="Arial" w:eastAsiaTheme="minorHAnsi" w:hAnsi="Arial" w:cs="Arial"/>
                <w:sz w:val="22"/>
                <w:szCs w:val="22"/>
                <w:lang w:eastAsia="en-US"/>
              </w:rPr>
              <w:t xml:space="preserve"> Can be included if appropriate, probably not needed for smaller consultancy services</w:t>
            </w:r>
          </w:p>
          <w:p w:rsidR="008D0A09" w:rsidRPr="008D0A09" w:rsidRDefault="008D0A09" w:rsidP="00CE1264">
            <w:pPr>
              <w:rPr>
                <w:rFonts w:ascii="Arial" w:hAnsi="Arial" w:cs="Arial"/>
              </w:rPr>
            </w:pPr>
          </w:p>
        </w:tc>
      </w:tr>
      <w:tr w:rsidR="008923A1" w:rsidRPr="008D0A09" w:rsidTr="00C75CC2">
        <w:tc>
          <w:tcPr>
            <w:tcW w:w="3085" w:type="dxa"/>
          </w:tcPr>
          <w:p w:rsidR="008923A1" w:rsidRDefault="008923A1" w:rsidP="009F53AA">
            <w:pPr>
              <w:rPr>
                <w:rStyle w:val="Level1asHeadingtext"/>
                <w:rFonts w:ascii="Arial" w:hAnsi="Arial" w:cs="Arial"/>
              </w:rPr>
            </w:pPr>
            <w:r>
              <w:rPr>
                <w:rStyle w:val="Level1asHeadingtext"/>
                <w:rFonts w:ascii="Arial" w:hAnsi="Arial" w:cs="Arial"/>
              </w:rPr>
              <w:t>Schedule 5: GDPR</w:t>
            </w:r>
          </w:p>
        </w:tc>
        <w:tc>
          <w:tcPr>
            <w:tcW w:w="6769" w:type="dxa"/>
          </w:tcPr>
          <w:p w:rsidR="008923A1" w:rsidRPr="00DE5DF2" w:rsidRDefault="008923A1" w:rsidP="00DE5DF2">
            <w:pPr>
              <w:pStyle w:val="CommentText"/>
              <w:rPr>
                <w:rFonts w:ascii="Arial" w:eastAsiaTheme="minorHAnsi" w:hAnsi="Arial" w:cs="Arial"/>
                <w:sz w:val="22"/>
                <w:szCs w:val="22"/>
                <w:lang w:eastAsia="en-US"/>
              </w:rPr>
            </w:pPr>
            <w:r>
              <w:rPr>
                <w:rFonts w:ascii="Arial" w:eastAsiaTheme="minorHAnsi" w:hAnsi="Arial" w:cs="Arial"/>
                <w:sz w:val="22"/>
                <w:szCs w:val="22"/>
                <w:lang w:eastAsia="en-US"/>
              </w:rPr>
              <w:t>The contract owner will need to complete this schedule during the procurement phase of the project. Guidance notes on the information required is in the table below.</w:t>
            </w:r>
          </w:p>
        </w:tc>
      </w:tr>
    </w:tbl>
    <w:p w:rsidR="008D0A09" w:rsidRDefault="008D0A09"/>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bookmarkStart w:id="5" w:name="_GoBack"/>
      <w:bookmarkEnd w:id="5"/>
    </w:p>
    <w:p w:rsidR="008923A1" w:rsidRDefault="008923A1"/>
    <w:tbl>
      <w:tblPr>
        <w:tblW w:w="0" w:type="auto"/>
        <w:tblInd w:w="109" w:type="dxa"/>
        <w:tblLayout w:type="fixed"/>
        <w:tblCellMar>
          <w:left w:w="0" w:type="dxa"/>
          <w:right w:w="0" w:type="dxa"/>
        </w:tblCellMar>
        <w:tblLook w:val="01E0" w:firstRow="1" w:lastRow="1" w:firstColumn="1" w:lastColumn="1" w:noHBand="0" w:noVBand="0"/>
      </w:tblPr>
      <w:tblGrid>
        <w:gridCol w:w="2957"/>
        <w:gridCol w:w="6741"/>
      </w:tblGrid>
      <w:tr w:rsidR="008923A1" w:rsidTr="008923A1">
        <w:trPr>
          <w:trHeight w:hRule="exact" w:val="540"/>
        </w:trPr>
        <w:tc>
          <w:tcPr>
            <w:tcW w:w="2957" w:type="dxa"/>
            <w:tcBorders>
              <w:top w:val="single" w:sz="8" w:space="0" w:color="000000"/>
              <w:left w:val="single" w:sz="8" w:space="0" w:color="000000"/>
              <w:bottom w:val="single" w:sz="8" w:space="0" w:color="000000"/>
              <w:right w:val="single" w:sz="8" w:space="0" w:color="000000"/>
            </w:tcBorders>
            <w:shd w:val="clear" w:color="auto" w:fill="BEBEBE"/>
            <w:hideMark/>
          </w:tcPr>
          <w:p w:rsidR="008923A1" w:rsidRDefault="008923A1">
            <w:pPr>
              <w:pStyle w:val="BodyText"/>
              <w:ind w:left="720"/>
              <w:rPr>
                <w:rFonts w:ascii="Calibri" w:eastAsia="Times New Roman" w:hAnsi="Calibri" w:cs="Arial"/>
                <w:b/>
                <w:kern w:val="28"/>
                <w:sz w:val="22"/>
                <w:szCs w:val="22"/>
                <w:lang w:val="en-GB" w:eastAsia="en-GB"/>
              </w:rPr>
            </w:pPr>
            <w:r>
              <w:rPr>
                <w:rFonts w:ascii="Calibri" w:eastAsia="Times New Roman" w:hAnsi="Calibri" w:cs="Arial"/>
                <w:b/>
                <w:kern w:val="28"/>
                <w:sz w:val="22"/>
                <w:szCs w:val="22"/>
                <w:lang w:val="en-GB" w:eastAsia="en-GB"/>
              </w:rPr>
              <w:lastRenderedPageBreak/>
              <w:t>Description</w:t>
            </w:r>
          </w:p>
        </w:tc>
        <w:tc>
          <w:tcPr>
            <w:tcW w:w="6741" w:type="dxa"/>
            <w:tcBorders>
              <w:top w:val="single" w:sz="8" w:space="0" w:color="000000"/>
              <w:left w:val="single" w:sz="8" w:space="0" w:color="000000"/>
              <w:bottom w:val="single" w:sz="8" w:space="0" w:color="000000"/>
              <w:right w:val="single" w:sz="8" w:space="0" w:color="000000"/>
            </w:tcBorders>
            <w:shd w:val="clear" w:color="auto" w:fill="BEBEBE"/>
            <w:hideMark/>
          </w:tcPr>
          <w:p w:rsidR="008923A1" w:rsidRDefault="008923A1">
            <w:pPr>
              <w:pStyle w:val="BodyText"/>
              <w:ind w:left="720"/>
              <w:jc w:val="center"/>
              <w:rPr>
                <w:rFonts w:cs="Arial"/>
              </w:rPr>
            </w:pPr>
            <w:r>
              <w:rPr>
                <w:rFonts w:ascii="Calibri" w:eastAsia="Times New Roman" w:hAnsi="Calibri" w:cs="Arial"/>
                <w:b/>
                <w:kern w:val="28"/>
                <w:sz w:val="22"/>
                <w:szCs w:val="22"/>
                <w:lang w:val="en-GB" w:eastAsia="en-GB"/>
              </w:rPr>
              <w:t>Details</w:t>
            </w:r>
          </w:p>
        </w:tc>
      </w:tr>
      <w:tr w:rsidR="008923A1" w:rsidTr="008923A1">
        <w:trPr>
          <w:trHeight w:hRule="exact" w:val="811"/>
        </w:trPr>
        <w:tc>
          <w:tcPr>
            <w:tcW w:w="2957"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spacing w:line="240" w:lineRule="auto"/>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Subject matter of the processing</w:t>
            </w:r>
          </w:p>
        </w:tc>
        <w:tc>
          <w:tcPr>
            <w:tcW w:w="6741" w:type="dxa"/>
            <w:tcBorders>
              <w:top w:val="single" w:sz="8" w:space="0" w:color="000000"/>
              <w:left w:val="single" w:sz="8" w:space="0" w:color="000000"/>
              <w:bottom w:val="single" w:sz="8" w:space="0" w:color="000000"/>
              <w:right w:val="single" w:sz="8" w:space="0" w:color="000000"/>
            </w:tcBorders>
            <w:hideMark/>
          </w:tcPr>
          <w:p w:rsidR="008923A1" w:rsidRDefault="008923A1">
            <w:pPr>
              <w:pStyle w:val="TableParagraph"/>
              <w:spacing w:line="247" w:lineRule="auto"/>
              <w:ind w:left="104" w:right="569"/>
              <w:rPr>
                <w:rFonts w:eastAsia="Times New Roman" w:cs="Arial"/>
                <w:kern w:val="28"/>
                <w:lang w:val="en-GB" w:eastAsia="en-GB"/>
              </w:rPr>
            </w:pPr>
            <w:r>
              <w:rPr>
                <w:rFonts w:eastAsia="Times New Roman" w:cs="Arial"/>
                <w:kern w:val="28"/>
                <w:lang w:val="en-GB" w:eastAsia="en-GB"/>
              </w:rPr>
              <w:t>[This should be a high level, short description of what the processing is about i.e. its subject matter]</w:t>
            </w:r>
          </w:p>
        </w:tc>
      </w:tr>
      <w:tr w:rsidR="008923A1" w:rsidTr="008923A1">
        <w:trPr>
          <w:trHeight w:hRule="exact" w:val="796"/>
        </w:trPr>
        <w:tc>
          <w:tcPr>
            <w:tcW w:w="2957"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Duration of the processing</w:t>
            </w:r>
          </w:p>
        </w:tc>
        <w:tc>
          <w:tcPr>
            <w:tcW w:w="6741"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[Clearly set out the duration of the processing including dates]</w:t>
            </w:r>
          </w:p>
        </w:tc>
      </w:tr>
      <w:tr w:rsidR="008923A1" w:rsidTr="008923A1">
        <w:trPr>
          <w:trHeight w:hRule="exact" w:val="3813"/>
        </w:trPr>
        <w:tc>
          <w:tcPr>
            <w:tcW w:w="2957"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Nature and purposes of the processing</w:t>
            </w:r>
          </w:p>
        </w:tc>
        <w:tc>
          <w:tcPr>
            <w:tcW w:w="6741"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[Please be as specific as possible, but make sure that you cover all intended purposes.</w:t>
            </w:r>
          </w:p>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The purpose might include: employment processing, statutory obligation, recruitment assessment etc]</w:t>
            </w:r>
          </w:p>
        </w:tc>
      </w:tr>
      <w:tr w:rsidR="008923A1" w:rsidTr="008923A1">
        <w:trPr>
          <w:trHeight w:hRule="exact" w:val="856"/>
        </w:trPr>
        <w:tc>
          <w:tcPr>
            <w:tcW w:w="2957"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Type of Personal Data</w:t>
            </w:r>
          </w:p>
        </w:tc>
        <w:tc>
          <w:tcPr>
            <w:tcW w:w="6741"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[Examples here include: name, address, date of birth, NI number, telephone number, pay, images, biometric data etc]</w:t>
            </w:r>
          </w:p>
        </w:tc>
      </w:tr>
      <w:tr w:rsidR="008923A1" w:rsidTr="008923A1">
        <w:trPr>
          <w:trHeight w:hRule="exact" w:val="1366"/>
        </w:trPr>
        <w:tc>
          <w:tcPr>
            <w:tcW w:w="2957"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Categories of Data Subject</w:t>
            </w:r>
          </w:p>
        </w:tc>
        <w:tc>
          <w:tcPr>
            <w:tcW w:w="6741"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[Examples include: Staff (including volunteers, agents, and temporary workers), customers/ clients, suppliers, patients, students / pupils, members of the public, users of a particular website etc]</w:t>
            </w:r>
          </w:p>
        </w:tc>
      </w:tr>
      <w:tr w:rsidR="008923A1" w:rsidTr="008923A1">
        <w:trPr>
          <w:trHeight w:hRule="exact" w:val="2507"/>
        </w:trPr>
        <w:tc>
          <w:tcPr>
            <w:tcW w:w="2957"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Plan for return and destruction of the data once the processing is complete UNLESS requirement under union or member state law to preserve that type of data</w:t>
            </w:r>
          </w:p>
        </w:tc>
        <w:tc>
          <w:tcPr>
            <w:tcW w:w="6741" w:type="dxa"/>
            <w:tcBorders>
              <w:top w:val="single" w:sz="8" w:space="0" w:color="000000"/>
              <w:left w:val="single" w:sz="8" w:space="0" w:color="000000"/>
              <w:bottom w:val="single" w:sz="8" w:space="0" w:color="000000"/>
              <w:right w:val="single" w:sz="8" w:space="0" w:color="000000"/>
            </w:tcBorders>
            <w:hideMark/>
          </w:tcPr>
          <w:p w:rsidR="008923A1" w:rsidRDefault="008923A1">
            <w:pPr>
              <w:pStyle w:val="BodyText"/>
              <w:rPr>
                <w:rFonts w:ascii="Calibri" w:eastAsia="Times New Roman" w:hAnsi="Calibri" w:cs="Arial"/>
                <w:kern w:val="28"/>
                <w:sz w:val="22"/>
                <w:szCs w:val="22"/>
                <w:lang w:val="en-GB" w:eastAsia="en-GB"/>
              </w:rPr>
            </w:pPr>
            <w:r>
              <w:rPr>
                <w:rFonts w:ascii="Calibri" w:eastAsia="Times New Roman" w:hAnsi="Calibri" w:cs="Arial"/>
                <w:kern w:val="28"/>
                <w:sz w:val="22"/>
                <w:szCs w:val="22"/>
                <w:lang w:val="en-GB" w:eastAsia="en-GB"/>
              </w:rPr>
              <w:t>[Describe how long the data will be retained for, how it be returned or destroyed]</w:t>
            </w:r>
          </w:p>
        </w:tc>
      </w:tr>
    </w:tbl>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8923A1" w:rsidRDefault="008923A1"/>
    <w:p w:rsidR="00E2161B" w:rsidRDefault="00E2161B"/>
    <w:p w:rsidR="00C63A3E" w:rsidRDefault="00E2161B" w:rsidP="00C63A3E">
      <w:pPr>
        <w:jc w:val="left"/>
      </w:pPr>
      <w:r w:rsidRPr="00E2161B">
        <w:rPr>
          <w:rFonts w:ascii="Arial" w:hAnsi="Arial" w:cs="Arial"/>
        </w:rPr>
        <w:t>For further Procurement Advice please visit</w:t>
      </w:r>
      <w:r>
        <w:t xml:space="preserve"> </w:t>
      </w:r>
    </w:p>
    <w:p w:rsidR="00C63A3E" w:rsidRPr="00066E86" w:rsidRDefault="008923A1" w:rsidP="00C63A3E">
      <w:pPr>
        <w:jc w:val="left"/>
        <w:rPr>
          <w:rFonts w:ascii="Arial" w:hAnsi="Arial" w:cs="Arial"/>
        </w:rPr>
      </w:pPr>
      <w:hyperlink r:id="rId16" w:history="1">
        <w:r w:rsidR="00C63A3E" w:rsidRPr="00066E86">
          <w:rPr>
            <w:rStyle w:val="Hyperlink"/>
            <w:rFonts w:ascii="Arial" w:hAnsi="Arial" w:cs="Arial"/>
          </w:rPr>
          <w:t>Procurement Services - Finance Services - University of Exeter</w:t>
        </w:r>
      </w:hyperlink>
    </w:p>
    <w:p w:rsidR="00E2161B" w:rsidRDefault="00E2161B" w:rsidP="00E2161B">
      <w:pPr>
        <w:jc w:val="left"/>
        <w:rPr>
          <w:rFonts w:ascii="Arial" w:hAnsi="Arial" w:cs="Arial"/>
        </w:rPr>
      </w:pPr>
    </w:p>
    <w:p w:rsidR="00FE5C1B" w:rsidRDefault="00FE5C1B" w:rsidP="00FE5C1B"/>
    <w:p w:rsidR="00FE5C1B" w:rsidRPr="00D63787" w:rsidRDefault="00FE5C1B" w:rsidP="00FE5C1B">
      <w:r>
        <w:t>*</w:t>
      </w:r>
      <w:r w:rsidRPr="00D63787">
        <w:t xml:space="preserve"> following a recent Government announcement, departments in government are now encouraged to pay their suppliers within 10 days of a valid invoice. This is to help businesses that are faced with increased cash flow problems in the current economic climate. It should be noted however that the standard payment terms (which can be modified) set out in these </w:t>
      </w:r>
      <w:r w:rsidRPr="00F82C23">
        <w:t>Standard Te</w:t>
      </w:r>
      <w:r>
        <w:t>rms and Conditions state that</w:t>
      </w:r>
      <w:r w:rsidRPr="00D63787">
        <w:t xml:space="preserve"> contractually-binding arrange</w:t>
      </w:r>
      <w:r>
        <w:t xml:space="preserve">ments </w:t>
      </w:r>
      <w:r w:rsidRPr="00D63787">
        <w:t>remain at 30 days.</w:t>
      </w:r>
    </w:p>
    <w:p w:rsidR="00B54C27" w:rsidRPr="001F6192" w:rsidRDefault="00B54C27" w:rsidP="00B54C27">
      <w:pPr>
        <w:pStyle w:val="Level2"/>
        <w:numPr>
          <w:ilvl w:val="0"/>
          <w:numId w:val="0"/>
        </w:numPr>
        <w:spacing w:line="240" w:lineRule="auto"/>
        <w:rPr>
          <w:rFonts w:asciiTheme="minorHAnsi" w:eastAsiaTheme="minorHAnsi" w:hAnsiTheme="minorHAnsi" w:cstheme="minorBidi"/>
          <w:sz w:val="22"/>
          <w:szCs w:val="22"/>
          <w:lang w:eastAsia="en-US"/>
        </w:rPr>
      </w:pPr>
      <w:r w:rsidRPr="001F6192">
        <w:rPr>
          <w:rFonts w:asciiTheme="minorHAnsi" w:eastAsiaTheme="minorHAnsi" w:hAnsiTheme="minorHAnsi" w:cstheme="minorBidi"/>
          <w:b/>
          <w:sz w:val="22"/>
          <w:szCs w:val="22"/>
          <w:lang w:eastAsia="en-US"/>
        </w:rPr>
        <w:t>Please note:</w:t>
      </w:r>
      <w:r w:rsidRPr="001F6192">
        <w:rPr>
          <w:rFonts w:asciiTheme="minorHAnsi" w:eastAsiaTheme="minorHAnsi" w:hAnsiTheme="minorHAnsi" w:cstheme="minorBidi"/>
          <w:sz w:val="22"/>
          <w:szCs w:val="22"/>
          <w:lang w:eastAsia="en-US"/>
        </w:rPr>
        <w:t xml:space="preserve"> Invoices should be addressed to the University of Exeter and not to a named individual within the Organisation.  Copy invoices should be sent only if requested by the Accounts Payable Department. Each such invoice shall contain all information required by University including the Consultant’s name and address, a separate calculation of VAT and an adequate description of elements of the Works and/or the Services performed. </w:t>
      </w:r>
    </w:p>
    <w:p w:rsidR="00B54C27" w:rsidRDefault="00B54C27" w:rsidP="00B54C27">
      <w:pPr>
        <w:pStyle w:val="Level1"/>
        <w:numPr>
          <w:ilvl w:val="0"/>
          <w:numId w:val="0"/>
        </w:numPr>
        <w:spacing w:line="240" w:lineRule="auto"/>
      </w:pPr>
      <w:r w:rsidRPr="001F6192">
        <w:rPr>
          <w:rFonts w:asciiTheme="minorHAnsi" w:hAnsiTheme="minorHAnsi"/>
          <w:sz w:val="22"/>
          <w:szCs w:val="22"/>
        </w:rPr>
        <w:t xml:space="preserve">The preferred method of receipt will be via email, to </w:t>
      </w:r>
      <w:hyperlink r:id="rId17" w:history="1">
        <w:r w:rsidRPr="001F6192">
          <w:rPr>
            <w:rStyle w:val="Hyperlink"/>
            <w:rFonts w:asciiTheme="minorHAnsi" w:hAnsiTheme="minorHAnsi"/>
            <w:sz w:val="22"/>
            <w:szCs w:val="22"/>
          </w:rPr>
          <w:t>invoices@exeter.ac.uk</w:t>
        </w:r>
      </w:hyperlink>
      <w:r w:rsidRPr="001F6192">
        <w:rPr>
          <w:rFonts w:asciiTheme="minorHAnsi" w:hAnsiTheme="minorHAnsi"/>
          <w:sz w:val="22"/>
          <w:szCs w:val="22"/>
        </w:rPr>
        <w:t>, but only for invoices in PDF, MS Word or TIFF formats. Otherwise invoices should be sent by post to the following address: Box 1, Finance, N</w:t>
      </w:r>
      <w:r>
        <w:rPr>
          <w:rFonts w:asciiTheme="minorHAnsi" w:hAnsiTheme="minorHAnsi"/>
          <w:sz w:val="22"/>
          <w:szCs w:val="22"/>
        </w:rPr>
        <w:t>o</w:t>
      </w:r>
      <w:r w:rsidRPr="001F6192">
        <w:rPr>
          <w:rFonts w:asciiTheme="minorHAnsi" w:hAnsiTheme="minorHAnsi"/>
          <w:sz w:val="22"/>
          <w:szCs w:val="22"/>
        </w:rPr>
        <w:t>rthcote House. University of Exeter, Exeter. EX4 4QJ</w:t>
      </w:r>
      <w:r>
        <w:rPr>
          <w:rFonts w:asciiTheme="minorHAnsi" w:hAnsiTheme="minorHAnsi"/>
          <w:sz w:val="22"/>
          <w:szCs w:val="22"/>
        </w:rPr>
        <w:t>.</w:t>
      </w:r>
    </w:p>
    <w:p w:rsidR="00E2161B" w:rsidRDefault="00E2161B"/>
    <w:sectPr w:rsidR="00E2161B" w:rsidSect="00CB054A">
      <w:headerReference w:type="default" r:id="rId18"/>
      <w:footerReference w:type="default" r:id="rId19"/>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10" w:rsidRDefault="00FC5D10" w:rsidP="00C03CC3">
      <w:r>
        <w:separator/>
      </w:r>
    </w:p>
  </w:endnote>
  <w:endnote w:type="continuationSeparator" w:id="0">
    <w:p w:rsidR="00FC5D10" w:rsidRDefault="00FC5D10" w:rsidP="00C0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8266"/>
      <w:docPartObj>
        <w:docPartGallery w:val="Page Numbers (Bottom of Page)"/>
        <w:docPartUnique/>
      </w:docPartObj>
    </w:sdtPr>
    <w:sdtEndPr/>
    <w:sdtContent>
      <w:p w:rsidR="00FC5D10" w:rsidRDefault="008923A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C5D10" w:rsidRDefault="00FC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10" w:rsidRDefault="00FC5D10" w:rsidP="00C03CC3">
      <w:r>
        <w:separator/>
      </w:r>
    </w:p>
  </w:footnote>
  <w:footnote w:type="continuationSeparator" w:id="0">
    <w:p w:rsidR="00FC5D10" w:rsidRDefault="00FC5D10" w:rsidP="00C03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0" w:rsidRDefault="00FC5D10" w:rsidP="00C03CC3">
    <w:pPr>
      <w:pStyle w:val="Header"/>
    </w:pPr>
    <w:r>
      <w:rPr>
        <w:noProof/>
        <w:sz w:val="18"/>
        <w:szCs w:val="18"/>
        <w:lang w:eastAsia="en-GB"/>
      </w:rPr>
      <w:drawing>
        <wp:anchor distT="0" distB="0" distL="114300" distR="114300" simplePos="0" relativeHeight="251657216" behindDoc="0" locked="0" layoutInCell="1" allowOverlap="1">
          <wp:simplePos x="0" y="0"/>
          <wp:positionH relativeFrom="column">
            <wp:posOffset>132558</wp:posOffset>
          </wp:positionH>
          <wp:positionV relativeFrom="paragraph">
            <wp:posOffset>17812</wp:posOffset>
          </wp:positionV>
          <wp:extent cx="1370363" cy="617517"/>
          <wp:effectExtent l="19050" t="0" r="1237"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370363" cy="617517"/>
                  </a:xfrm>
                  <a:prstGeom prst="rect">
                    <a:avLst/>
                  </a:prstGeom>
                  <a:noFill/>
                  <a:ln w="9525">
                    <a:noFill/>
                    <a:miter lim="800000"/>
                    <a:headEnd/>
                    <a:tailEnd/>
                  </a:ln>
                </pic:spPr>
              </pic:pic>
            </a:graphicData>
          </a:graphic>
        </wp:anchor>
      </w:drawing>
    </w:r>
  </w:p>
  <w:p w:rsidR="00FC5D10" w:rsidRDefault="00FC5D10" w:rsidP="00C03CC3">
    <w:pPr>
      <w:pStyle w:val="Header"/>
    </w:pPr>
  </w:p>
  <w:p w:rsidR="00FC5D10" w:rsidRDefault="008923A1" w:rsidP="00C03CC3">
    <w:pPr>
      <w:pStyle w:val="Header"/>
    </w:pPr>
    <w:r>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356.6pt;margin-top:26pt;width:138.8pt;height:20.65pt;z-index:251659264;mso-height-percent:200;mso-height-percent:200;mso-width-relative:margin;mso-height-relative:margin" stroked="f">
          <v:textbox style="mso-fit-shape-to-text:t">
            <w:txbxContent>
              <w:p w:rsidR="00723365" w:rsidRDefault="00723365" w:rsidP="00723365">
                <w:r>
                  <w:t xml:space="preserve">Updated </w:t>
                </w:r>
                <w:r w:rsidR="00B54C27">
                  <w:t>July 2013</w:t>
                </w:r>
              </w:p>
            </w:txbxContent>
          </v:textbox>
        </v:shape>
      </w:pict>
    </w:r>
  </w:p>
  <w:p w:rsidR="00FC5D10" w:rsidRDefault="008923A1" w:rsidP="00C03CC3">
    <w:pPr>
      <w:pStyle w:val="Header"/>
    </w:pPr>
    <w:r>
      <w:rPr>
        <w:noProof/>
        <w:lang w:eastAsia="en-GB"/>
      </w:rPr>
      <w:pict>
        <v:shape id="_x0000_s1026" type="#_x0000_t202" style="position:absolute;left:0;text-align:left;margin-left:10.05pt;margin-top:1.8pt;width:141.7pt;height:43.15pt;z-index:-251658240;mso-height-percent:200;mso-height-percent:200;mso-width-relative:margin;mso-height-relative:margin" stroked="f">
          <v:textbox style="mso-next-textbox:#_x0000_s1026;mso-fit-shape-to-text:t">
            <w:txbxContent>
              <w:p w:rsidR="00FC5D10" w:rsidRPr="00600B09" w:rsidRDefault="00FC5D10" w:rsidP="00C03CC3">
                <w:pPr>
                  <w:rPr>
                    <w:rFonts w:ascii="Adobe Kaiti Std R" w:eastAsia="Adobe Kaiti Std R" w:hAnsi="Adobe Kaiti Std R"/>
                  </w:rPr>
                </w:pPr>
                <w:r w:rsidRPr="00600B09">
                  <w:rPr>
                    <w:rFonts w:ascii="Adobe Kaiti Std R" w:eastAsia="Adobe Kaiti Std R" w:hAnsi="Adobe Kaiti Std R"/>
                  </w:rPr>
                  <w:t>Procurement Services</w:t>
                </w:r>
              </w:p>
            </w:txbxContent>
          </v:textbox>
        </v:shape>
      </w:pict>
    </w:r>
  </w:p>
  <w:p w:rsidR="00FC5D10" w:rsidRDefault="00FC5D10" w:rsidP="00C03CC3">
    <w:pPr>
      <w:pStyle w:val="Header"/>
    </w:pPr>
  </w:p>
  <w:p w:rsidR="00FC5D10" w:rsidRDefault="00FC5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A33"/>
    <w:multiLevelType w:val="hybridMultilevel"/>
    <w:tmpl w:val="A56EE328"/>
    <w:lvl w:ilvl="0" w:tplc="33128DC8">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EEE3B45"/>
    <w:multiLevelType w:val="hybridMultilevel"/>
    <w:tmpl w:val="0296A9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87184"/>
    <w:multiLevelType w:val="multilevel"/>
    <w:tmpl w:val="D462642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7D063387"/>
    <w:multiLevelType w:val="hybridMultilevel"/>
    <w:tmpl w:val="07B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03CC3"/>
    <w:rsid w:val="0001092F"/>
    <w:rsid w:val="00014F76"/>
    <w:rsid w:val="00022FF1"/>
    <w:rsid w:val="00032C9C"/>
    <w:rsid w:val="00084674"/>
    <w:rsid w:val="000C06EE"/>
    <w:rsid w:val="000F0032"/>
    <w:rsid w:val="0016086C"/>
    <w:rsid w:val="001611B2"/>
    <w:rsid w:val="00187829"/>
    <w:rsid w:val="0018786B"/>
    <w:rsid w:val="001C4CDB"/>
    <w:rsid w:val="001E2C77"/>
    <w:rsid w:val="00253060"/>
    <w:rsid w:val="00262BAC"/>
    <w:rsid w:val="002D433E"/>
    <w:rsid w:val="00353811"/>
    <w:rsid w:val="00355A81"/>
    <w:rsid w:val="0035715F"/>
    <w:rsid w:val="00386901"/>
    <w:rsid w:val="003A4C51"/>
    <w:rsid w:val="003C4E15"/>
    <w:rsid w:val="00422000"/>
    <w:rsid w:val="004221C8"/>
    <w:rsid w:val="00453DBE"/>
    <w:rsid w:val="004640D6"/>
    <w:rsid w:val="00475912"/>
    <w:rsid w:val="0049642A"/>
    <w:rsid w:val="004972B4"/>
    <w:rsid w:val="004A5E8B"/>
    <w:rsid w:val="004B63B7"/>
    <w:rsid w:val="004E6398"/>
    <w:rsid w:val="004F114B"/>
    <w:rsid w:val="004F5BC6"/>
    <w:rsid w:val="004F5F66"/>
    <w:rsid w:val="00500488"/>
    <w:rsid w:val="00522220"/>
    <w:rsid w:val="00523D7B"/>
    <w:rsid w:val="00525DA3"/>
    <w:rsid w:val="005665A4"/>
    <w:rsid w:val="005D0150"/>
    <w:rsid w:val="005E4275"/>
    <w:rsid w:val="005E4566"/>
    <w:rsid w:val="005F4251"/>
    <w:rsid w:val="005F5021"/>
    <w:rsid w:val="005F55B1"/>
    <w:rsid w:val="00606010"/>
    <w:rsid w:val="00624A5D"/>
    <w:rsid w:val="006724AC"/>
    <w:rsid w:val="00676130"/>
    <w:rsid w:val="00696204"/>
    <w:rsid w:val="006A21EE"/>
    <w:rsid w:val="006B62F0"/>
    <w:rsid w:val="006D1909"/>
    <w:rsid w:val="006E58B9"/>
    <w:rsid w:val="00712365"/>
    <w:rsid w:val="00723365"/>
    <w:rsid w:val="00731F61"/>
    <w:rsid w:val="00745292"/>
    <w:rsid w:val="007951CD"/>
    <w:rsid w:val="007A3758"/>
    <w:rsid w:val="007A4331"/>
    <w:rsid w:val="007A7B5C"/>
    <w:rsid w:val="007C64BF"/>
    <w:rsid w:val="007D0803"/>
    <w:rsid w:val="007D2416"/>
    <w:rsid w:val="007D4D0C"/>
    <w:rsid w:val="007E435A"/>
    <w:rsid w:val="00804210"/>
    <w:rsid w:val="00817721"/>
    <w:rsid w:val="00881176"/>
    <w:rsid w:val="008923A1"/>
    <w:rsid w:val="008953B8"/>
    <w:rsid w:val="00896285"/>
    <w:rsid w:val="008B2048"/>
    <w:rsid w:val="008B26AB"/>
    <w:rsid w:val="008B438E"/>
    <w:rsid w:val="008C5462"/>
    <w:rsid w:val="008D0A09"/>
    <w:rsid w:val="008D70AF"/>
    <w:rsid w:val="008E4447"/>
    <w:rsid w:val="008F4B27"/>
    <w:rsid w:val="0092339F"/>
    <w:rsid w:val="009248B4"/>
    <w:rsid w:val="00926BE3"/>
    <w:rsid w:val="00930D00"/>
    <w:rsid w:val="00941F5B"/>
    <w:rsid w:val="00945B8B"/>
    <w:rsid w:val="009811E9"/>
    <w:rsid w:val="00986EA8"/>
    <w:rsid w:val="009904AB"/>
    <w:rsid w:val="009A3E84"/>
    <w:rsid w:val="009A7E9E"/>
    <w:rsid w:val="009C4810"/>
    <w:rsid w:val="009F53AA"/>
    <w:rsid w:val="00A01BBB"/>
    <w:rsid w:val="00A03A30"/>
    <w:rsid w:val="00A177A4"/>
    <w:rsid w:val="00A20E1E"/>
    <w:rsid w:val="00A34A11"/>
    <w:rsid w:val="00A363CE"/>
    <w:rsid w:val="00A370CC"/>
    <w:rsid w:val="00A44273"/>
    <w:rsid w:val="00A5294D"/>
    <w:rsid w:val="00A5376B"/>
    <w:rsid w:val="00A56062"/>
    <w:rsid w:val="00AE719F"/>
    <w:rsid w:val="00B42C16"/>
    <w:rsid w:val="00B53D06"/>
    <w:rsid w:val="00B54C27"/>
    <w:rsid w:val="00BE2140"/>
    <w:rsid w:val="00C03CC3"/>
    <w:rsid w:val="00C13AD3"/>
    <w:rsid w:val="00C256AD"/>
    <w:rsid w:val="00C548A3"/>
    <w:rsid w:val="00C63A3E"/>
    <w:rsid w:val="00C70515"/>
    <w:rsid w:val="00C75CC2"/>
    <w:rsid w:val="00CA268E"/>
    <w:rsid w:val="00CB054A"/>
    <w:rsid w:val="00CB52C2"/>
    <w:rsid w:val="00CE1264"/>
    <w:rsid w:val="00CE3996"/>
    <w:rsid w:val="00D06C23"/>
    <w:rsid w:val="00D405F9"/>
    <w:rsid w:val="00D44818"/>
    <w:rsid w:val="00D511D8"/>
    <w:rsid w:val="00D51422"/>
    <w:rsid w:val="00D56C12"/>
    <w:rsid w:val="00D6196F"/>
    <w:rsid w:val="00DD3CBD"/>
    <w:rsid w:val="00DD4FBE"/>
    <w:rsid w:val="00DE027F"/>
    <w:rsid w:val="00DE5DF2"/>
    <w:rsid w:val="00DF0D87"/>
    <w:rsid w:val="00E102C5"/>
    <w:rsid w:val="00E20436"/>
    <w:rsid w:val="00E2161B"/>
    <w:rsid w:val="00E318A1"/>
    <w:rsid w:val="00E31DCC"/>
    <w:rsid w:val="00E36CC6"/>
    <w:rsid w:val="00E93D65"/>
    <w:rsid w:val="00ED2AF6"/>
    <w:rsid w:val="00ED4E11"/>
    <w:rsid w:val="00EE6D2E"/>
    <w:rsid w:val="00F0141C"/>
    <w:rsid w:val="00F27510"/>
    <w:rsid w:val="00F277A3"/>
    <w:rsid w:val="00F27FCD"/>
    <w:rsid w:val="00FB2D53"/>
    <w:rsid w:val="00FC23CF"/>
    <w:rsid w:val="00FC5D10"/>
    <w:rsid w:val="00FE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4BBBC9-AA56-457E-A858-62E2FA31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CC3"/>
    <w:pPr>
      <w:tabs>
        <w:tab w:val="left" w:pos="851"/>
        <w:tab w:val="left" w:pos="1843"/>
        <w:tab w:val="left" w:pos="3119"/>
        <w:tab w:val="left" w:pos="4253"/>
      </w:tabs>
      <w:spacing w:after="240" w:line="312" w:lineRule="auto"/>
    </w:pPr>
    <w:rPr>
      <w:rFonts w:ascii="Verdana" w:eastAsia="Times New Roman" w:hAnsi="Verdana" w:cs="Times New Roman"/>
      <w:sz w:val="20"/>
      <w:szCs w:val="20"/>
      <w:lang w:eastAsia="en-GB"/>
    </w:rPr>
  </w:style>
  <w:style w:type="paragraph" w:styleId="Header">
    <w:name w:val="header"/>
    <w:basedOn w:val="Normal"/>
    <w:link w:val="HeaderChar"/>
    <w:unhideWhenUsed/>
    <w:rsid w:val="00C03CC3"/>
    <w:pPr>
      <w:tabs>
        <w:tab w:val="center" w:pos="4513"/>
        <w:tab w:val="right" w:pos="9026"/>
      </w:tabs>
    </w:pPr>
  </w:style>
  <w:style w:type="character" w:customStyle="1" w:styleId="HeaderChar">
    <w:name w:val="Header Char"/>
    <w:basedOn w:val="DefaultParagraphFont"/>
    <w:link w:val="Header"/>
    <w:uiPriority w:val="99"/>
    <w:semiHidden/>
    <w:rsid w:val="00C03CC3"/>
  </w:style>
  <w:style w:type="paragraph" w:styleId="Footer">
    <w:name w:val="footer"/>
    <w:basedOn w:val="Normal"/>
    <w:link w:val="FooterChar"/>
    <w:uiPriority w:val="99"/>
    <w:unhideWhenUsed/>
    <w:rsid w:val="00C03CC3"/>
    <w:pPr>
      <w:tabs>
        <w:tab w:val="center" w:pos="4513"/>
        <w:tab w:val="right" w:pos="9026"/>
      </w:tabs>
    </w:pPr>
  </w:style>
  <w:style w:type="character" w:customStyle="1" w:styleId="FooterChar">
    <w:name w:val="Footer Char"/>
    <w:basedOn w:val="DefaultParagraphFont"/>
    <w:link w:val="Footer"/>
    <w:uiPriority w:val="99"/>
    <w:rsid w:val="00C03CC3"/>
  </w:style>
  <w:style w:type="table" w:styleId="TableGrid">
    <w:name w:val="Table Grid"/>
    <w:basedOn w:val="TableNormal"/>
    <w:uiPriority w:val="59"/>
    <w:rsid w:val="00A2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basedOn w:val="DefaultParagraphFont"/>
    <w:rsid w:val="00676130"/>
    <w:rPr>
      <w:b/>
    </w:rPr>
  </w:style>
  <w:style w:type="paragraph" w:styleId="ListParagraph">
    <w:name w:val="List Paragraph"/>
    <w:basedOn w:val="Normal"/>
    <w:uiPriority w:val="34"/>
    <w:qFormat/>
    <w:rsid w:val="00676130"/>
    <w:pPr>
      <w:ind w:left="720"/>
      <w:contextualSpacing/>
    </w:pPr>
  </w:style>
  <w:style w:type="character" w:styleId="Hyperlink">
    <w:name w:val="Hyperlink"/>
    <w:basedOn w:val="DefaultParagraphFont"/>
    <w:uiPriority w:val="99"/>
    <w:unhideWhenUsed/>
    <w:rsid w:val="00E2161B"/>
    <w:rPr>
      <w:color w:val="0000FF" w:themeColor="hyperlink"/>
      <w:u w:val="single"/>
    </w:rPr>
  </w:style>
  <w:style w:type="character" w:styleId="Strong">
    <w:name w:val="Strong"/>
    <w:basedOn w:val="DefaultParagraphFont"/>
    <w:uiPriority w:val="22"/>
    <w:qFormat/>
    <w:rsid w:val="00E2161B"/>
    <w:rPr>
      <w:b/>
      <w:bCs/>
    </w:rPr>
  </w:style>
  <w:style w:type="paragraph" w:customStyle="1" w:styleId="style31">
    <w:name w:val="style31"/>
    <w:basedOn w:val="Normal"/>
    <w:rsid w:val="00E2161B"/>
    <w:pPr>
      <w:jc w:val="left"/>
    </w:pPr>
    <w:rPr>
      <w:rFonts w:ascii="Arial" w:eastAsia="Times New Roman" w:hAnsi="Arial" w:cs="Arial"/>
      <w:color w:val="000000"/>
      <w:sz w:val="24"/>
      <w:szCs w:val="24"/>
      <w:lang w:eastAsia="en-GB"/>
    </w:rPr>
  </w:style>
  <w:style w:type="character" w:customStyle="1" w:styleId="twoce1">
    <w:name w:val="twoce1"/>
    <w:basedOn w:val="DefaultParagraphFont"/>
    <w:rsid w:val="0092339F"/>
    <w:rPr>
      <w:sz w:val="24"/>
      <w:szCs w:val="24"/>
    </w:rPr>
  </w:style>
  <w:style w:type="character" w:styleId="FollowedHyperlink">
    <w:name w:val="FollowedHyperlink"/>
    <w:basedOn w:val="DefaultParagraphFont"/>
    <w:uiPriority w:val="99"/>
    <w:semiHidden/>
    <w:unhideWhenUsed/>
    <w:rsid w:val="00986EA8"/>
    <w:rPr>
      <w:color w:val="800080" w:themeColor="followedHyperlink"/>
      <w:u w:val="single"/>
    </w:rPr>
  </w:style>
  <w:style w:type="paragraph" w:styleId="CommentText">
    <w:name w:val="annotation text"/>
    <w:basedOn w:val="Normal"/>
    <w:link w:val="CommentTextChar"/>
    <w:semiHidden/>
    <w:rsid w:val="00F277A3"/>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F277A3"/>
    <w:rPr>
      <w:rFonts w:ascii="Verdana" w:eastAsia="Times New Roman" w:hAnsi="Verdana" w:cs="Times New Roman"/>
      <w:sz w:val="20"/>
      <w:szCs w:val="20"/>
      <w:lang w:eastAsia="en-GB"/>
    </w:rPr>
  </w:style>
  <w:style w:type="paragraph" w:customStyle="1" w:styleId="Level1">
    <w:name w:val="Level 1"/>
    <w:basedOn w:val="Normal"/>
    <w:uiPriority w:val="99"/>
    <w:rsid w:val="007D2416"/>
    <w:pPr>
      <w:numPr>
        <w:numId w:val="3"/>
      </w:numPr>
      <w:spacing w:after="240" w:line="312" w:lineRule="auto"/>
      <w:outlineLvl w:val="0"/>
    </w:pPr>
    <w:rPr>
      <w:rFonts w:ascii="Verdana" w:eastAsia="Times New Roman" w:hAnsi="Verdana" w:cs="Times New Roman"/>
      <w:sz w:val="20"/>
      <w:szCs w:val="20"/>
      <w:lang w:eastAsia="en-GB"/>
    </w:rPr>
  </w:style>
  <w:style w:type="paragraph" w:customStyle="1" w:styleId="Level2">
    <w:name w:val="Level 2"/>
    <w:basedOn w:val="Normal"/>
    <w:uiPriority w:val="99"/>
    <w:rsid w:val="007D2416"/>
    <w:pPr>
      <w:numPr>
        <w:ilvl w:val="1"/>
        <w:numId w:val="3"/>
      </w:numPr>
      <w:spacing w:after="240" w:line="312" w:lineRule="auto"/>
      <w:outlineLvl w:val="1"/>
    </w:pPr>
    <w:rPr>
      <w:rFonts w:ascii="Verdana" w:eastAsia="Times New Roman" w:hAnsi="Verdana" w:cs="Times New Roman"/>
      <w:sz w:val="20"/>
      <w:szCs w:val="20"/>
      <w:lang w:eastAsia="en-GB"/>
    </w:rPr>
  </w:style>
  <w:style w:type="paragraph" w:customStyle="1" w:styleId="Level3">
    <w:name w:val="Level 3"/>
    <w:basedOn w:val="Normal"/>
    <w:uiPriority w:val="99"/>
    <w:rsid w:val="007D2416"/>
    <w:pPr>
      <w:numPr>
        <w:ilvl w:val="2"/>
        <w:numId w:val="3"/>
      </w:numPr>
      <w:spacing w:after="240" w:line="312" w:lineRule="auto"/>
      <w:outlineLvl w:val="2"/>
    </w:pPr>
    <w:rPr>
      <w:rFonts w:ascii="Verdana" w:eastAsia="Times New Roman" w:hAnsi="Verdana" w:cs="Times New Roman"/>
      <w:sz w:val="20"/>
      <w:szCs w:val="20"/>
      <w:lang w:eastAsia="en-GB"/>
    </w:rPr>
  </w:style>
  <w:style w:type="paragraph" w:customStyle="1" w:styleId="Level4">
    <w:name w:val="Level 4"/>
    <w:basedOn w:val="Normal"/>
    <w:uiPriority w:val="99"/>
    <w:rsid w:val="007D2416"/>
    <w:pPr>
      <w:numPr>
        <w:ilvl w:val="3"/>
        <w:numId w:val="3"/>
      </w:numPr>
      <w:spacing w:after="240" w:line="312" w:lineRule="auto"/>
      <w:outlineLvl w:val="3"/>
    </w:pPr>
    <w:rPr>
      <w:rFonts w:ascii="Verdana" w:eastAsia="Times New Roman" w:hAnsi="Verdana" w:cs="Times New Roman"/>
      <w:sz w:val="20"/>
      <w:szCs w:val="20"/>
      <w:lang w:eastAsia="en-GB"/>
    </w:rPr>
  </w:style>
  <w:style w:type="paragraph" w:customStyle="1" w:styleId="Level5">
    <w:name w:val="Level 5"/>
    <w:basedOn w:val="Normal"/>
    <w:uiPriority w:val="99"/>
    <w:rsid w:val="007D2416"/>
    <w:pPr>
      <w:numPr>
        <w:ilvl w:val="4"/>
        <w:numId w:val="3"/>
      </w:numPr>
      <w:spacing w:after="240" w:line="312" w:lineRule="auto"/>
      <w:outlineLvl w:val="4"/>
    </w:pPr>
    <w:rPr>
      <w:rFonts w:ascii="Verdana" w:eastAsia="Times New Roman" w:hAnsi="Verdana" w:cs="Times New Roman"/>
      <w:sz w:val="20"/>
      <w:szCs w:val="20"/>
      <w:lang w:eastAsia="en-GB"/>
    </w:rPr>
  </w:style>
  <w:style w:type="paragraph" w:styleId="BodyText">
    <w:name w:val="Body Text"/>
    <w:basedOn w:val="Normal"/>
    <w:link w:val="BodyTextChar"/>
    <w:uiPriority w:val="1"/>
    <w:semiHidden/>
    <w:unhideWhenUsed/>
    <w:qFormat/>
    <w:rsid w:val="008923A1"/>
    <w:pPr>
      <w:widowControl w:val="0"/>
      <w:spacing w:after="200" w:line="276" w:lineRule="auto"/>
      <w:ind w:left="110"/>
      <w:jc w:val="left"/>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semiHidden/>
    <w:rsid w:val="008923A1"/>
    <w:rPr>
      <w:rFonts w:ascii="Arial" w:eastAsia="Arial" w:hAnsi="Arial" w:cs="Times New Roman"/>
      <w:sz w:val="24"/>
      <w:szCs w:val="24"/>
      <w:lang w:val="en-US"/>
    </w:rPr>
  </w:style>
  <w:style w:type="paragraph" w:customStyle="1" w:styleId="TableParagraph">
    <w:name w:val="Table Paragraph"/>
    <w:basedOn w:val="Normal"/>
    <w:uiPriority w:val="1"/>
    <w:qFormat/>
    <w:rsid w:val="008923A1"/>
    <w:pPr>
      <w:widowControl w:val="0"/>
      <w:spacing w:after="200" w:line="276" w:lineRule="auto"/>
      <w:jc w:val="left"/>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311">
      <w:bodyDiv w:val="1"/>
      <w:marLeft w:val="0"/>
      <w:marRight w:val="0"/>
      <w:marTop w:val="0"/>
      <w:marBottom w:val="0"/>
      <w:divBdr>
        <w:top w:val="none" w:sz="0" w:space="0" w:color="auto"/>
        <w:left w:val="none" w:sz="0" w:space="0" w:color="auto"/>
        <w:bottom w:val="none" w:sz="0" w:space="0" w:color="auto"/>
        <w:right w:val="none" w:sz="0" w:space="0" w:color="auto"/>
      </w:divBdr>
    </w:div>
    <w:div w:id="1177110970">
      <w:bodyDiv w:val="1"/>
      <w:marLeft w:val="0"/>
      <w:marRight w:val="0"/>
      <w:marTop w:val="0"/>
      <w:marBottom w:val="0"/>
      <w:divBdr>
        <w:top w:val="none" w:sz="0" w:space="0" w:color="auto"/>
        <w:left w:val="none" w:sz="0" w:space="0" w:color="auto"/>
        <w:bottom w:val="none" w:sz="0" w:space="0" w:color="auto"/>
        <w:right w:val="none" w:sz="0" w:space="0" w:color="auto"/>
      </w:divBdr>
    </w:div>
    <w:div w:id="1898010313">
      <w:bodyDiv w:val="1"/>
      <w:marLeft w:val="0"/>
      <w:marRight w:val="0"/>
      <w:marTop w:val="0"/>
      <w:marBottom w:val="0"/>
      <w:divBdr>
        <w:top w:val="none" w:sz="0" w:space="0" w:color="auto"/>
        <w:left w:val="none" w:sz="0" w:space="0" w:color="auto"/>
        <w:bottom w:val="none" w:sz="0" w:space="0" w:color="auto"/>
        <w:right w:val="none" w:sz="0" w:space="0" w:color="auto"/>
      </w:divBdr>
      <w:divsChild>
        <w:div w:id="890001267">
          <w:marLeft w:val="0"/>
          <w:marRight w:val="0"/>
          <w:marTop w:val="0"/>
          <w:marBottom w:val="0"/>
          <w:divBdr>
            <w:top w:val="none" w:sz="0" w:space="0" w:color="000000"/>
            <w:left w:val="none" w:sz="0" w:space="0" w:color="000000"/>
            <w:bottom w:val="none" w:sz="0" w:space="0" w:color="000000"/>
            <w:right w:val="none" w:sz="0" w:space="0" w:color="000000"/>
          </w:divBdr>
          <w:divsChild>
            <w:div w:id="109073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finance/procurement/buying/termsandconditions/" TargetMode="External"/><Relationship Id="rId13" Type="http://schemas.openxmlformats.org/officeDocument/2006/relationships/hyperlink" Target="http://www.exeter.ac.uk/finance/procurement/buying/termsandcondi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xeter.ac.uk/finance/procurement/buying/termsandconditions/" TargetMode="External"/><Relationship Id="rId12" Type="http://schemas.openxmlformats.org/officeDocument/2006/relationships/hyperlink" Target="http://www.exeter.ac.uk/campusservices/legalandinsuranceservices/" TargetMode="External"/><Relationship Id="rId17" Type="http://schemas.openxmlformats.org/officeDocument/2006/relationships/hyperlink" Target="mailto:invoices@exeter.ac.uk" TargetMode="External"/><Relationship Id="rId2" Type="http://schemas.openxmlformats.org/officeDocument/2006/relationships/styles" Target="styles.xml"/><Relationship Id="rId16" Type="http://schemas.openxmlformats.org/officeDocument/2006/relationships/hyperlink" Target="http://www.exeter.ac.uk/finance/procur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exeter.ac.uk/corporate/procurement/contact.shtml" TargetMode="External"/><Relationship Id="rId5" Type="http://schemas.openxmlformats.org/officeDocument/2006/relationships/footnotes" Target="footnotes.xml"/><Relationship Id="rId15" Type="http://schemas.openxmlformats.org/officeDocument/2006/relationships/hyperlink" Target="http://www.exeter.ac.uk/finance/procurement/policiesandprocedures/procurementmanual/" TargetMode="External"/><Relationship Id="rId10" Type="http://schemas.openxmlformats.org/officeDocument/2006/relationships/hyperlink" Target="http://www.justice.gov.uk/guidance/making-and-reviewing-the-law/bribery.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min.exeter.ac.uk/corporate/procurement/contact.shtml" TargetMode="External"/><Relationship Id="rId14" Type="http://schemas.openxmlformats.org/officeDocument/2006/relationships/hyperlink" Target="http://admin.exeter.ac.uk/corporate/procurement/manual/documents/4Supplierperformance_whattomonito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rv219</dc:creator>
  <cp:keywords/>
  <dc:description/>
  <cp:lastModifiedBy>Raddon, Emma</cp:lastModifiedBy>
  <cp:revision>3</cp:revision>
  <cp:lastPrinted>2011-09-28T15:07:00Z</cp:lastPrinted>
  <dcterms:created xsi:type="dcterms:W3CDTF">2013-07-16T12:42:00Z</dcterms:created>
  <dcterms:modified xsi:type="dcterms:W3CDTF">2018-04-12T13:35:00Z</dcterms:modified>
</cp:coreProperties>
</file>