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B4715" w:rsidRDefault="00CB4715" w:rsidP="009C15AC">
      <w:pPr>
        <w:spacing w:after="0" w:line="240" w:lineRule="auto"/>
        <w:jc w:val="center"/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2DB5B75F" wp14:editId="07777777">
            <wp:extent cx="910540" cy="901700"/>
            <wp:effectExtent l="0" t="0" r="4445" b="0"/>
            <wp:docPr id="1" name="Picture 1" descr="C:\Users\kvsg201\AppData\Local\Microsoft\Windows\INetCache\Content.MSO\58BDB6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sg201\AppData\Local\Microsoft\Windows\INetCache\Content.MSO\58BDB65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44" cy="91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</w:p>
    <w:p w14:paraId="29C92EE8" w14:textId="77777777" w:rsidR="00BC62B1" w:rsidRDefault="009C15AC" w:rsidP="009C15AC">
      <w:pPr>
        <w:spacing w:after="0" w:line="240" w:lineRule="auto"/>
        <w:jc w:val="center"/>
      </w:pPr>
      <w:r>
        <w:t>Minutes of Meeting</w:t>
      </w:r>
    </w:p>
    <w:p w14:paraId="447FA7E6" w14:textId="77777777" w:rsidR="009C15AC" w:rsidRPr="009C15AC" w:rsidRDefault="0011192D" w:rsidP="009C15AC">
      <w:pPr>
        <w:spacing w:after="0" w:line="240" w:lineRule="auto"/>
        <w:jc w:val="center"/>
        <w:rPr>
          <w:b/>
        </w:rPr>
      </w:pPr>
      <w:r>
        <w:rPr>
          <w:b/>
        </w:rPr>
        <w:t>Strategic Implementation</w:t>
      </w:r>
      <w:r w:rsidR="009C15AC" w:rsidRPr="00794EF5">
        <w:rPr>
          <w:b/>
        </w:rPr>
        <w:t xml:space="preserve"> Planning Group</w:t>
      </w:r>
    </w:p>
    <w:p w14:paraId="513D906F" w14:textId="77777777" w:rsidR="009C15AC" w:rsidRDefault="009C15AC" w:rsidP="009C15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lang w:eastAsia="en-GB"/>
        </w:rPr>
      </w:pPr>
      <w:r w:rsidRPr="009C15AC">
        <w:rPr>
          <w:rFonts w:ascii="Calibri" w:eastAsia="Times New Roman" w:hAnsi="Calibri" w:cs="Calibri"/>
          <w:color w:val="242424"/>
          <w:lang w:eastAsia="en-GB"/>
        </w:rPr>
        <w:t>Wednesday 24 April 2024</w:t>
      </w:r>
    </w:p>
    <w:p w14:paraId="36AD272A" w14:textId="77777777" w:rsidR="009C15AC" w:rsidRDefault="009C15AC" w:rsidP="00794EF5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lang w:eastAsia="en-GB"/>
        </w:rPr>
      </w:pPr>
      <w:r>
        <w:rPr>
          <w:rFonts w:ascii="Calibri" w:eastAsia="Times New Roman" w:hAnsi="Calibri" w:cs="Calibri"/>
          <w:color w:val="242424"/>
          <w:lang w:eastAsia="en-GB"/>
        </w:rPr>
        <w:t>BC 112 Baring Court and MS Teams, St Luke’s Campus,</w:t>
      </w:r>
      <w:r w:rsidRPr="009C15AC">
        <w:rPr>
          <w:rFonts w:ascii="Calibri" w:eastAsia="Times New Roman" w:hAnsi="Calibri" w:cs="Calibri"/>
          <w:b/>
          <w:bCs/>
          <w:color w:val="242424"/>
          <w:lang w:eastAsia="en-GB"/>
        </w:rPr>
        <w:t> </w:t>
      </w:r>
      <w:r w:rsidRPr="009C15AC">
        <w:rPr>
          <w:rFonts w:ascii="Calibri" w:eastAsia="Times New Roman" w:hAnsi="Calibri" w:cs="Calibri"/>
          <w:color w:val="242424"/>
          <w:lang w:eastAsia="en-GB"/>
        </w:rPr>
        <w:t>10:00 – 12:00</w:t>
      </w:r>
    </w:p>
    <w:p w14:paraId="0A37501D" w14:textId="77777777" w:rsidR="00794EF5" w:rsidRPr="00794EF5" w:rsidRDefault="00794EF5" w:rsidP="00A4547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93"/>
        <w:gridCol w:w="7754"/>
        <w:gridCol w:w="1559"/>
      </w:tblGrid>
      <w:tr w:rsidR="00794EF5" w14:paraId="403A913A" w14:textId="77777777" w:rsidTr="0FF8E3E5">
        <w:tc>
          <w:tcPr>
            <w:tcW w:w="893" w:type="dxa"/>
          </w:tcPr>
          <w:p w14:paraId="5B32A650" w14:textId="77777777" w:rsidR="00794EF5" w:rsidRDefault="00794EF5" w:rsidP="1C7AD5C2">
            <w:pPr>
              <w:rPr>
                <w:sz w:val="20"/>
                <w:szCs w:val="20"/>
              </w:rPr>
            </w:pPr>
            <w:r w:rsidRPr="1C7AD5C2">
              <w:rPr>
                <w:sz w:val="20"/>
                <w:szCs w:val="20"/>
              </w:rPr>
              <w:t>Agenda item</w:t>
            </w:r>
          </w:p>
        </w:tc>
        <w:tc>
          <w:tcPr>
            <w:tcW w:w="7754" w:type="dxa"/>
          </w:tcPr>
          <w:p w14:paraId="5DAB6C7B" w14:textId="77777777" w:rsidR="00794EF5" w:rsidRDefault="00794EF5"/>
        </w:tc>
        <w:tc>
          <w:tcPr>
            <w:tcW w:w="1559" w:type="dxa"/>
          </w:tcPr>
          <w:p w14:paraId="6D38A49E" w14:textId="77777777" w:rsidR="00794EF5" w:rsidRDefault="00794EF5">
            <w:r>
              <w:t>Action:</w:t>
            </w:r>
          </w:p>
        </w:tc>
      </w:tr>
      <w:tr w:rsidR="00794EF5" w14:paraId="50415DAF" w14:textId="77777777" w:rsidTr="0FF8E3E5">
        <w:tc>
          <w:tcPr>
            <w:tcW w:w="893" w:type="dxa"/>
          </w:tcPr>
          <w:p w14:paraId="02EB378F" w14:textId="77777777" w:rsidR="00794EF5" w:rsidRDefault="00794EF5"/>
        </w:tc>
        <w:tc>
          <w:tcPr>
            <w:tcW w:w="7754" w:type="dxa"/>
          </w:tcPr>
          <w:p w14:paraId="741D7372" w14:textId="73EBC27C" w:rsidR="00794EF5" w:rsidRDefault="00794EF5">
            <w:r w:rsidRPr="0FF8E3E5">
              <w:rPr>
                <w:b/>
                <w:bCs/>
              </w:rPr>
              <w:t>Attending</w:t>
            </w:r>
            <w:r>
              <w:t>:</w:t>
            </w:r>
            <w:r w:rsidR="008F0339">
              <w:t xml:space="preserve"> Tom Ralph </w:t>
            </w:r>
            <w:r w:rsidR="00E068EA">
              <w:t xml:space="preserve">(TR) </w:t>
            </w:r>
            <w:r w:rsidR="008F0339">
              <w:t>(Chair)</w:t>
            </w:r>
            <w:r w:rsidR="56A0E39B">
              <w:t xml:space="preserve"> School of Education</w:t>
            </w:r>
            <w:r w:rsidR="2B1EF07F">
              <w:t>,</w:t>
            </w:r>
          </w:p>
          <w:p w14:paraId="1809E392" w14:textId="3CAB575D" w:rsidR="00794EF5" w:rsidRDefault="2B1EF07F">
            <w:r>
              <w:t>Fiona Bosley (FB) Partnership Office,</w:t>
            </w:r>
            <w:r w:rsidR="1AA413A1">
              <w:t xml:space="preserve"> </w:t>
            </w:r>
            <w:r>
              <w:t>Ruth Flanagan (RF) School of Education,</w:t>
            </w:r>
          </w:p>
          <w:p w14:paraId="224C3F2F" w14:textId="4B24ADDA" w:rsidR="00794EF5" w:rsidRDefault="2B1EF07F">
            <w:r>
              <w:t>Lisa Fripp (LF) Partnership Office,</w:t>
            </w:r>
            <w:r w:rsidR="6709B821">
              <w:t xml:space="preserve"> </w:t>
            </w:r>
            <w:r>
              <w:t>Corinne Greaves (CG) Partnership Office,</w:t>
            </w:r>
          </w:p>
          <w:p w14:paraId="5BBBD062" w14:textId="289FFD89" w:rsidR="00794EF5" w:rsidRDefault="001F2C4B">
            <w:r>
              <w:t>Nick Heath</w:t>
            </w:r>
            <w:r w:rsidR="3C09A7B7">
              <w:t xml:space="preserve"> </w:t>
            </w:r>
            <w:r w:rsidR="57567D10">
              <w:t>(NH)</w:t>
            </w:r>
            <w:r w:rsidR="3C09A7B7">
              <w:t xml:space="preserve"> Huish Academy Trust</w:t>
            </w:r>
            <w:r>
              <w:t xml:space="preserve">, </w:t>
            </w:r>
            <w:r w:rsidR="00A26351">
              <w:t>Heidi Long</w:t>
            </w:r>
            <w:r w:rsidR="00E068EA">
              <w:t xml:space="preserve"> (HL)</w:t>
            </w:r>
            <w:r w:rsidR="55A59FC4">
              <w:t xml:space="preserve"> Partnership Office</w:t>
            </w:r>
            <w:r w:rsidR="00A26351">
              <w:t xml:space="preserve">, </w:t>
            </w:r>
          </w:p>
          <w:p w14:paraId="39B765C0" w14:textId="65AC9AD9" w:rsidR="00794EF5" w:rsidRDefault="6F31EA07">
            <w:r>
              <w:t>Dan Polak (DP) TEAM Multi-Academy Trust,</w:t>
            </w:r>
            <w:r w:rsidR="49E59CFD">
              <w:t xml:space="preserve"> </w:t>
            </w:r>
            <w:r w:rsidR="00A26351">
              <w:t>Bryan Smith</w:t>
            </w:r>
            <w:r w:rsidR="3678A308">
              <w:t xml:space="preserve"> (BS)</w:t>
            </w:r>
            <w:r w:rsidR="2D363EA3">
              <w:t xml:space="preserve"> School of Education</w:t>
            </w:r>
            <w:r w:rsidR="00A26351">
              <w:t>,</w:t>
            </w:r>
            <w:r w:rsidR="008C5390">
              <w:t xml:space="preserve"> </w:t>
            </w:r>
          </w:p>
          <w:p w14:paraId="75703DFB" w14:textId="01D16A64" w:rsidR="00794EF5" w:rsidRDefault="5188B8B6">
            <w:r>
              <w:t>Annabelle Thomas (AT) Teignmouth School,</w:t>
            </w:r>
            <w:r w:rsidR="4AB2FE73">
              <w:t xml:space="preserve"> </w:t>
            </w:r>
            <w:r>
              <w:t>Julie Walker (JW) Fiveways School,</w:t>
            </w:r>
          </w:p>
          <w:p w14:paraId="7C7DF0A1" w14:textId="42F025D9" w:rsidR="00794EF5" w:rsidRDefault="5188B8B6">
            <w:r>
              <w:t>Annabel Watson (AW)</w:t>
            </w:r>
            <w:r w:rsidR="6E0D2519">
              <w:t xml:space="preserve"> School of Education</w:t>
            </w:r>
            <w:r>
              <w:t>,</w:t>
            </w:r>
            <w:r w:rsidR="5FA840B2">
              <w:t xml:space="preserve"> </w:t>
            </w:r>
            <w:r>
              <w:t>Gini Williams (GW)</w:t>
            </w:r>
            <w:r w:rsidR="4842375A">
              <w:t xml:space="preserve"> Partnership Office</w:t>
            </w:r>
            <w:r>
              <w:t>,</w:t>
            </w:r>
          </w:p>
          <w:p w14:paraId="2D18F48C" w14:textId="5E306910" w:rsidR="00794EF5" w:rsidRDefault="008C5390">
            <w:r>
              <w:t>Kathryn Fyfe</w:t>
            </w:r>
            <w:r w:rsidR="4FCD7FA0">
              <w:t xml:space="preserve">, Partnership Office </w:t>
            </w:r>
            <w:r>
              <w:t>(notes)</w:t>
            </w:r>
            <w:r w:rsidR="00A26351">
              <w:t xml:space="preserve"> </w:t>
            </w:r>
          </w:p>
          <w:p w14:paraId="6A05A809" w14:textId="77777777" w:rsidR="00A26351" w:rsidRDefault="00A26351"/>
          <w:p w14:paraId="5C5024FB" w14:textId="1EB24CCA" w:rsidR="00A26351" w:rsidRDefault="00A26351" w:rsidP="0FF8E3E5">
            <w:r w:rsidRPr="0FF8E3E5">
              <w:rPr>
                <w:b/>
                <w:bCs/>
              </w:rPr>
              <w:t>Online:</w:t>
            </w:r>
            <w:r>
              <w:t xml:space="preserve"> </w:t>
            </w:r>
            <w:r w:rsidR="4F77C9CC">
              <w:t xml:space="preserve">Adam </w:t>
            </w:r>
            <w:proofErr w:type="spellStart"/>
            <w:r w:rsidR="4F77C9CC">
              <w:t>Gutteridge</w:t>
            </w:r>
            <w:proofErr w:type="spellEnd"/>
            <w:r w:rsidR="4F77C9CC">
              <w:t xml:space="preserve"> (AG) Millfield School, </w:t>
            </w:r>
            <w:r>
              <w:t xml:space="preserve">Rhys Harris </w:t>
            </w:r>
            <w:r w:rsidR="0041752C">
              <w:t xml:space="preserve">(RH) </w:t>
            </w:r>
            <w:r>
              <w:t xml:space="preserve">Paignton Academy, </w:t>
            </w:r>
            <w:r w:rsidR="005E65DC">
              <w:t xml:space="preserve">Neil Vincent </w:t>
            </w:r>
            <w:r w:rsidR="0041752C">
              <w:t xml:space="preserve">(NV) </w:t>
            </w:r>
            <w:r w:rsidR="005E65DC">
              <w:t>The Woodroffe School</w:t>
            </w:r>
            <w:r w:rsidR="2D9FF3A7">
              <w:t>, Fergus Wilson (FW) Millfield School.</w:t>
            </w:r>
          </w:p>
          <w:p w14:paraId="5A39BBE3" w14:textId="77777777" w:rsidR="00794EF5" w:rsidRDefault="00794EF5"/>
          <w:p w14:paraId="6E97BC02" w14:textId="5E269AFE" w:rsidR="00794EF5" w:rsidRDefault="00794EF5">
            <w:r w:rsidRPr="0FF8E3E5">
              <w:rPr>
                <w:b/>
                <w:bCs/>
              </w:rPr>
              <w:t>Apologies</w:t>
            </w:r>
            <w:r>
              <w:t>:</w:t>
            </w:r>
            <w:r w:rsidR="0073170C">
              <w:t xml:space="preserve"> </w:t>
            </w:r>
          </w:p>
          <w:p w14:paraId="2F50ECF6" w14:textId="3108FDCB" w:rsidR="00794EF5" w:rsidRDefault="06FFD632">
            <w:r>
              <w:t xml:space="preserve">Luke Graham (School of Education), </w:t>
            </w:r>
            <w:r w:rsidR="00831060">
              <w:t>Nick Lecharpentier (Blundell’s School)</w:t>
            </w:r>
            <w:r w:rsidR="005C376D">
              <w:t xml:space="preserve">, </w:t>
            </w:r>
          </w:p>
          <w:p w14:paraId="010056B4" w14:textId="347AB39F" w:rsidR="00794EF5" w:rsidRDefault="00F18779">
            <w:r>
              <w:t>Claire McKimm (Stoke Hill First School),</w:t>
            </w:r>
            <w:r w:rsidR="0E0EAE8F">
              <w:t xml:space="preserve"> </w:t>
            </w:r>
            <w:r>
              <w:t>Jamie Sullivan (Stoke Hill Junior School),</w:t>
            </w:r>
          </w:p>
          <w:p w14:paraId="7365BB68" w14:textId="3CE6E150" w:rsidR="00794EF5" w:rsidRDefault="00794EF5" w:rsidP="0FF8E3E5"/>
        </w:tc>
        <w:tc>
          <w:tcPr>
            <w:tcW w:w="1559" w:type="dxa"/>
          </w:tcPr>
          <w:p w14:paraId="41C8F396" w14:textId="77777777" w:rsidR="00794EF5" w:rsidRDefault="00794EF5"/>
        </w:tc>
      </w:tr>
      <w:tr w:rsidR="00A26351" w14:paraId="639A3BA1" w14:textId="77777777" w:rsidTr="0FF8E3E5">
        <w:tc>
          <w:tcPr>
            <w:tcW w:w="893" w:type="dxa"/>
          </w:tcPr>
          <w:p w14:paraId="72A3D3EC" w14:textId="77777777" w:rsidR="00A26351" w:rsidRDefault="00A26351"/>
        </w:tc>
        <w:tc>
          <w:tcPr>
            <w:tcW w:w="7754" w:type="dxa"/>
          </w:tcPr>
          <w:p w14:paraId="12CA7B19" w14:textId="77777777" w:rsidR="00A26351" w:rsidRPr="00A43768" w:rsidRDefault="00A26351" w:rsidP="00794EF5">
            <w:pPr>
              <w:shd w:val="clear" w:color="auto" w:fill="FFFFFF"/>
              <w:rPr>
                <w:rFonts w:ascii="Calibri" w:eastAsia="Times New Roman" w:hAnsi="Calibri" w:cs="Calibri"/>
                <w:b/>
                <w:color w:val="242424"/>
                <w:lang w:eastAsia="en-GB"/>
              </w:rPr>
            </w:pPr>
            <w:r w:rsidRPr="00A43768">
              <w:rPr>
                <w:rFonts w:ascii="Calibri" w:eastAsia="Times New Roman" w:hAnsi="Calibri" w:cs="Calibri"/>
                <w:b/>
                <w:color w:val="242424"/>
                <w:lang w:eastAsia="en-GB"/>
              </w:rPr>
              <w:t>Welcome</w:t>
            </w:r>
            <w:r w:rsidR="00A43768" w:rsidRPr="00A43768">
              <w:rPr>
                <w:rFonts w:ascii="Calibri" w:eastAsia="Times New Roman" w:hAnsi="Calibri" w:cs="Calibri"/>
                <w:b/>
                <w:color w:val="242424"/>
                <w:lang w:eastAsia="en-GB"/>
              </w:rPr>
              <w:t xml:space="preserve"> and Introductions</w:t>
            </w:r>
            <w:r w:rsidRPr="00A43768">
              <w:rPr>
                <w:rFonts w:ascii="Calibri" w:eastAsia="Times New Roman" w:hAnsi="Calibri" w:cs="Calibri"/>
                <w:b/>
                <w:color w:val="242424"/>
                <w:lang w:eastAsia="en-GB"/>
              </w:rPr>
              <w:t>:</w:t>
            </w:r>
          </w:p>
          <w:p w14:paraId="72507316" w14:textId="77777777" w:rsidR="00A26351" w:rsidRPr="009C15AC" w:rsidRDefault="001F2C4B" w:rsidP="00794EF5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lang w:eastAsia="en-GB"/>
              </w:rPr>
              <w:t>TR</w:t>
            </w:r>
            <w:r w:rsidR="00A43768">
              <w:rPr>
                <w:rFonts w:ascii="Calibri" w:eastAsia="Times New Roman" w:hAnsi="Calibri" w:cs="Calibri"/>
                <w:color w:val="242424"/>
                <w:lang w:eastAsia="en-GB"/>
              </w:rPr>
              <w:t>, Head of ITE,</w:t>
            </w:r>
            <w:r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opened the meeting</w:t>
            </w:r>
            <w:r w:rsidR="00995203">
              <w:rPr>
                <w:rFonts w:ascii="Calibri" w:eastAsia="Times New Roman" w:hAnsi="Calibri" w:cs="Calibri"/>
                <w:color w:val="242424"/>
                <w:lang w:eastAsia="en-GB"/>
              </w:rPr>
              <w:t>.</w:t>
            </w:r>
          </w:p>
        </w:tc>
        <w:tc>
          <w:tcPr>
            <w:tcW w:w="1559" w:type="dxa"/>
          </w:tcPr>
          <w:p w14:paraId="0D0B940D" w14:textId="77777777" w:rsidR="00A26351" w:rsidRDefault="00A26351"/>
        </w:tc>
      </w:tr>
      <w:tr w:rsidR="00794EF5" w14:paraId="62300B04" w14:textId="77777777" w:rsidTr="0FF8E3E5">
        <w:tc>
          <w:tcPr>
            <w:tcW w:w="893" w:type="dxa"/>
          </w:tcPr>
          <w:p w14:paraId="0135CBF0" w14:textId="77777777" w:rsidR="00794EF5" w:rsidRDefault="00794EF5">
            <w:r>
              <w:t>1.</w:t>
            </w:r>
          </w:p>
          <w:p w14:paraId="0E27B00A" w14:textId="77777777" w:rsidR="002D724A" w:rsidRDefault="002D724A"/>
          <w:p w14:paraId="60061E4C" w14:textId="77777777" w:rsidR="002D724A" w:rsidRDefault="002D724A"/>
          <w:p w14:paraId="44EAFD9C" w14:textId="77777777" w:rsidR="002D724A" w:rsidRDefault="002D724A"/>
          <w:p w14:paraId="4B94D5A5" w14:textId="77777777" w:rsidR="002D724A" w:rsidRDefault="002D724A"/>
          <w:p w14:paraId="3DEEC669" w14:textId="77777777" w:rsidR="002D724A" w:rsidRDefault="002D724A"/>
        </w:tc>
        <w:tc>
          <w:tcPr>
            <w:tcW w:w="7754" w:type="dxa"/>
          </w:tcPr>
          <w:p w14:paraId="24519B34" w14:textId="77777777" w:rsidR="00794EF5" w:rsidRPr="00720825" w:rsidRDefault="00794EF5" w:rsidP="00794EF5">
            <w:pPr>
              <w:shd w:val="clear" w:color="auto" w:fill="FFFFFF"/>
              <w:rPr>
                <w:rFonts w:ascii="Calibri" w:eastAsia="Times New Roman" w:hAnsi="Calibri" w:cs="Calibri"/>
                <w:b/>
                <w:color w:val="242424"/>
                <w:lang w:eastAsia="en-GB"/>
              </w:rPr>
            </w:pPr>
            <w:r w:rsidRPr="00720825">
              <w:rPr>
                <w:rFonts w:ascii="Calibri" w:eastAsia="Times New Roman" w:hAnsi="Calibri" w:cs="Calibri"/>
                <w:b/>
                <w:color w:val="242424"/>
                <w:lang w:eastAsia="en-GB"/>
              </w:rPr>
              <w:t>PGCE Improvement Plan</w:t>
            </w:r>
          </w:p>
          <w:p w14:paraId="11EEF5E9" w14:textId="75E87768" w:rsidR="000F7C39" w:rsidRDefault="00995203" w:rsidP="4B23D868">
            <w:p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TR introduced the</w:t>
            </w:r>
            <w:r w:rsidR="00720825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  <w:r w:rsidR="00A4376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Key Performance Indicato</w:t>
            </w:r>
            <w:r w:rsidR="00A00A6F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rs and Quality requirements for</w:t>
            </w:r>
            <w:r w:rsidR="00A4376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2024/25</w:t>
            </w:r>
            <w:r w:rsidR="591BE823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and summarised new courses for 24/25 including primary changes and Secondary Geography and Biology with PE. </w:t>
            </w:r>
          </w:p>
          <w:p w14:paraId="3656B9AB" w14:textId="77777777" w:rsidR="000F7C39" w:rsidRDefault="000F7C39" w:rsidP="00794EF5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</w:p>
          <w:p w14:paraId="1ED18F9A" w14:textId="37BF3B3F" w:rsidR="000F7C39" w:rsidRPr="0041752C" w:rsidRDefault="591BE823" w:rsidP="582B258B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 xml:space="preserve">A new </w:t>
            </w:r>
            <w:r w:rsidR="000F7C39"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>PGCE St</w:t>
            </w:r>
            <w:r w:rsidR="0041752C"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>aff Handbook</w:t>
            </w:r>
            <w:r w:rsidR="51A1C165"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 xml:space="preserve"> will be created for 24/25.</w:t>
            </w:r>
          </w:p>
          <w:p w14:paraId="5548E127" w14:textId="54AAA159" w:rsidR="51A1C165" w:rsidRDefault="51A1C165" w:rsidP="582B258B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>Discussion to gather ideas from SIPG members about what should be included.</w:t>
            </w:r>
          </w:p>
          <w:p w14:paraId="45FB0818" w14:textId="77777777" w:rsidR="00286E89" w:rsidRDefault="00286E89" w:rsidP="00794EF5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</w:p>
          <w:p w14:paraId="7025DD8D" w14:textId="77777777" w:rsidR="00DA742A" w:rsidRDefault="00DA742A" w:rsidP="582B258B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>Suggestions</w:t>
            </w:r>
            <w:r w:rsidR="001C0F22"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 xml:space="preserve"> and themes</w:t>
            </w:r>
            <w:r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 xml:space="preserve"> included:</w:t>
            </w:r>
          </w:p>
          <w:p w14:paraId="71827B71" w14:textId="158B8FBA" w:rsidR="000F7C39" w:rsidRPr="000B321F" w:rsidRDefault="3CE35317" w:rsidP="582B258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A flow chart to clarify roles and responsibilities</w:t>
            </w:r>
            <w:r w:rsidR="1CF2193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– ITEC, Mentor, Lead Mentor, Senior Lead Mentor, Programme Directors, Head of ITE, Partnership</w:t>
            </w:r>
          </w:p>
          <w:p w14:paraId="1A309EE0" w14:textId="3F48CD9E" w:rsidR="000F7C39" w:rsidRPr="000B321F" w:rsidRDefault="001C0F22" w:rsidP="582B258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Guidance on </w:t>
            </w:r>
            <w:r w:rsidR="2595EA23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processes in relation to </w:t>
            </w:r>
            <w:r w:rsidR="000F7C3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trainee </w:t>
            </w:r>
            <w:r w:rsidR="36BC1D2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support </w:t>
            </w:r>
            <w:r w:rsidR="000F7C3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issues</w:t>
            </w:r>
            <w:r w:rsidR="7357233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, summarise support services</w:t>
            </w:r>
            <w:r w:rsidR="1299BC2D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and </w:t>
            </w:r>
            <w:r w:rsidR="0D88D06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clarify </w:t>
            </w:r>
            <w:r w:rsidR="1299BC2D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who to refer to</w:t>
            </w:r>
            <w:r w:rsidR="19C583D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for support issues</w:t>
            </w:r>
          </w:p>
          <w:p w14:paraId="138DD444" w14:textId="4400166B" w:rsidR="555F4E5E" w:rsidRDefault="555F4E5E" w:rsidP="582B258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Disclosure of disability processes</w:t>
            </w:r>
          </w:p>
          <w:p w14:paraId="346A9311" w14:textId="0636D5DF" w:rsidR="00C9471C" w:rsidRPr="000178ED" w:rsidRDefault="55D5A10C" w:rsidP="32FEA6A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Where information is stored including what is on the Mentor Zone</w:t>
            </w:r>
            <w:r w:rsidR="4A82E246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, IDP guidance, ELE, trainee handbook</w:t>
            </w:r>
            <w:r w:rsidR="00370BBC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  <w:r w:rsidR="005F097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</w:p>
          <w:p w14:paraId="1C1C1E34" w14:textId="107565DC" w:rsidR="00C9471C" w:rsidRDefault="00C9471C" w:rsidP="00C9471C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>
              <w:t>DBS</w:t>
            </w:r>
            <w:r w:rsidR="64181B87">
              <w:t xml:space="preserve"> processes for both trainees and University Lead Mentor visits</w:t>
            </w:r>
            <w:r>
              <w:t xml:space="preserve"> – what </w:t>
            </w:r>
            <w:r w:rsidR="2F0EA581">
              <w:t>should and shouldn’t be shared</w:t>
            </w:r>
            <w:r w:rsidR="7A027207">
              <w:t>, who to refer safeguarding concerns to</w:t>
            </w:r>
          </w:p>
          <w:p w14:paraId="51F6F9B0" w14:textId="254AFC4A" w:rsidR="001A1618" w:rsidRPr="009F759B" w:rsidRDefault="2F0EA581" w:rsidP="32FEA6AA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Mentoring training requirements including w</w:t>
            </w:r>
            <w:r w:rsidR="001A161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hat</w:t>
            </w:r>
            <w:r w:rsidR="00406E9E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to do if a </w:t>
            </w:r>
            <w:r w:rsidR="001A161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mentor changes </w:t>
            </w:r>
            <w:r w:rsidR="00406E9E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at the last minute or mid-way through a placement</w:t>
            </w:r>
          </w:p>
          <w:p w14:paraId="53128261" w14:textId="7F04F80A" w:rsidR="00D45DC1" w:rsidRDefault="00D45DC1" w:rsidP="68D300C9">
            <w:p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</w:p>
          <w:p w14:paraId="2208D9A5" w14:textId="77777777" w:rsidR="00457764" w:rsidRDefault="00457764" w:rsidP="00794EF5">
            <w:pPr>
              <w:shd w:val="clear" w:color="auto" w:fill="FFFFFF"/>
              <w:rPr>
                <w:rFonts w:ascii="Calibri" w:eastAsia="Times New Roman" w:hAnsi="Calibri" w:cs="Calibri"/>
                <w:b/>
                <w:color w:val="242424"/>
                <w:lang w:eastAsia="en-GB"/>
              </w:rPr>
            </w:pPr>
          </w:p>
          <w:p w14:paraId="7B216BC7" w14:textId="31A5004A" w:rsidR="00D45DC1" w:rsidRPr="00BF4FCD" w:rsidRDefault="00D45DC1" w:rsidP="00794EF5">
            <w:pPr>
              <w:shd w:val="clear" w:color="auto" w:fill="FFFFFF"/>
              <w:rPr>
                <w:rFonts w:ascii="Calibri" w:eastAsia="Times New Roman" w:hAnsi="Calibri" w:cs="Calibri"/>
                <w:b/>
                <w:color w:val="242424"/>
                <w:lang w:eastAsia="en-GB"/>
              </w:rPr>
            </w:pPr>
            <w:r w:rsidRPr="00BF4FCD">
              <w:rPr>
                <w:rFonts w:ascii="Calibri" w:eastAsia="Times New Roman" w:hAnsi="Calibri" w:cs="Calibri"/>
                <w:b/>
                <w:color w:val="242424"/>
                <w:lang w:eastAsia="en-GB"/>
              </w:rPr>
              <w:lastRenderedPageBreak/>
              <w:t>Improving recruitment to ITE</w:t>
            </w:r>
          </w:p>
          <w:p w14:paraId="0991711E" w14:textId="2E48D212" w:rsidR="00BF4FCD" w:rsidRDefault="0445572F" w:rsidP="582B258B">
            <w:p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Update on </w:t>
            </w:r>
            <w:r w:rsidR="00E95554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press r</w:t>
            </w:r>
            <w:r w:rsidR="00143A06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eleases focusing on the new regional</w:t>
            </w:r>
            <w:r w:rsidR="4EBF1F23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ITE</w:t>
            </w:r>
            <w:r w:rsidR="00D45DC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hubs.</w:t>
            </w:r>
            <w:r w:rsidR="00E95554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TR also appeared on </w:t>
            </w:r>
            <w:r w:rsidR="001E47F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BBC Devon news</w:t>
            </w:r>
            <w:r w:rsidR="00E95554">
              <w:t xml:space="preserve"> </w:t>
            </w:r>
            <w:hyperlink r:id="rId9">
              <w:r w:rsidR="00E95554" w:rsidRPr="582B258B">
                <w:rPr>
                  <w:rStyle w:val="Hyperlink"/>
                </w:rPr>
                <w:t>University of Exeter teacher training to be offered at rural hubs - BBC News</w:t>
              </w:r>
            </w:hyperlink>
            <w:r w:rsidR="00143A06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.  </w:t>
            </w:r>
            <w:r w:rsidR="005A6CD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The Team is producing</w:t>
            </w:r>
            <w:r w:rsidR="00E95554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more marketing materials including banners and </w:t>
            </w:r>
            <w:r w:rsidR="00BF4FCD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leaflets.</w:t>
            </w:r>
          </w:p>
          <w:p w14:paraId="62486C05" w14:textId="77777777" w:rsidR="00BF4FCD" w:rsidRDefault="00BF4FCD" w:rsidP="00794EF5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</w:p>
          <w:p w14:paraId="280F8134" w14:textId="48646668" w:rsidR="00BF4FCD" w:rsidRDefault="361963A3" w:rsidP="68D300C9">
            <w:p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SIPG members </w:t>
            </w:r>
            <w:r w:rsidR="005E3CFB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discussed what c</w:t>
            </w:r>
            <w:r w:rsidR="090DAD3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ould</w:t>
            </w:r>
            <w:r w:rsidR="005E3CFB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be done</w:t>
            </w:r>
            <w:r w:rsidR="00BF4FCD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to encourage train</w:t>
            </w:r>
            <w:r w:rsidR="00CB16DF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ees to come to Exeter</w:t>
            </w:r>
            <w:r w:rsidR="005E3CFB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  <w:r w:rsidR="0270A3E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to do their PGCE </w:t>
            </w:r>
            <w:r w:rsidR="005E3CFB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and to increase visible presence locally</w:t>
            </w:r>
            <w:r w:rsidR="23F1B0B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in the context of </w:t>
            </w:r>
            <w:r w:rsidR="005E3CFB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recruitment</w:t>
            </w:r>
            <w:r w:rsidR="64F8192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to teacher training nationally being a challenge. </w:t>
            </w:r>
          </w:p>
          <w:p w14:paraId="3289C5C1" w14:textId="6A25E0CD" w:rsidR="64F81928" w:rsidRDefault="64F81928" w:rsidP="582B258B">
            <w:p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Ideas noted:</w:t>
            </w:r>
          </w:p>
          <w:p w14:paraId="4101652C" w14:textId="77777777" w:rsidR="00BF4FCD" w:rsidRDefault="00BF4FCD" w:rsidP="00794EF5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</w:p>
          <w:p w14:paraId="6ADDFE61" w14:textId="13624A83" w:rsidR="00C934E1" w:rsidRDefault="0EDB4E19" w:rsidP="32FEA6AA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One of our</w:t>
            </w:r>
            <w:r w:rsidR="00C934E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  <w:r w:rsidR="36A141BA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Lead Partners </w:t>
            </w:r>
            <w:r w:rsidR="505F08A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piloted</w:t>
            </w:r>
            <w:r w:rsidR="00C934E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an open day </w:t>
            </w:r>
            <w:r w:rsidR="3E0D190D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for prospective trainees</w:t>
            </w:r>
            <w:r w:rsidR="00EB7267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which was straightforward to organise</w:t>
            </w:r>
            <w:r w:rsidR="00BF4FCD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.</w:t>
            </w:r>
            <w:r w:rsidR="00EB7267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This included a morning and lunch</w:t>
            </w:r>
            <w:r w:rsidR="74945715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with the chance to observe lessons and see how a school functions.</w:t>
            </w:r>
            <w:r w:rsidR="65898DDB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Could role this out more widely</w:t>
            </w:r>
          </w:p>
          <w:p w14:paraId="4E7AAB99" w14:textId="4EE54D37" w:rsidR="00BF4FCD" w:rsidRPr="00C934E1" w:rsidRDefault="00C934E1" w:rsidP="32FEA6AA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This approach e</w:t>
            </w:r>
            <w:r w:rsidR="00BF4FCD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ncouraged applications</w:t>
            </w:r>
            <w:r w:rsidR="5DF7A235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  <w:r w:rsidR="629695E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from </w:t>
            </w:r>
            <w:r w:rsidR="21FAB987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career changers</w:t>
            </w:r>
            <w:r w:rsidR="2EC7E64F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and more diverse candidate</w:t>
            </w:r>
            <w:r w:rsidR="69FDDB17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s</w:t>
            </w:r>
            <w:r w:rsidR="2EC7E64F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from</w:t>
            </w:r>
            <w:r w:rsidR="1F31E437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the</w:t>
            </w:r>
            <w:r w:rsidR="2EC7E64F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local community</w:t>
            </w:r>
          </w:p>
          <w:p w14:paraId="049DE98B" w14:textId="6A6A5ADD" w:rsidR="00DB00B2" w:rsidRPr="00C934E1" w:rsidRDefault="33B71A0A" w:rsidP="1C7AD5C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Wider d</w:t>
            </w:r>
            <w:r w:rsidR="2EC7E64F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iscussion around the need to make teaching an </w:t>
            </w:r>
            <w:r w:rsidR="342D48CD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attractive</w:t>
            </w:r>
            <w:r w:rsidR="2EC7E64F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offer, the competition is against jobs offering flexible home </w:t>
            </w:r>
            <w:r w:rsidR="00DB00B2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working </w:t>
            </w:r>
            <w:r w:rsidR="3DEE6597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etc</w:t>
            </w:r>
            <w:r w:rsidR="00DB00B2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.</w:t>
            </w:r>
            <w:r w:rsidR="00921D0F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</w:p>
          <w:p w14:paraId="747AE254" w14:textId="736B37D3" w:rsidR="00644200" w:rsidRDefault="4E320320" w:rsidP="582B258B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More s</w:t>
            </w:r>
            <w:r w:rsidR="00C934E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ocial media</w:t>
            </w:r>
            <w:r w:rsidR="403406C3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- </w:t>
            </w:r>
            <w:r w:rsidR="403406C3" w:rsidRPr="582B258B">
              <w:rPr>
                <w:rFonts w:eastAsia="Times New Roman"/>
                <w:color w:val="000000" w:themeColor="text1"/>
                <w:lang w:eastAsia="en-GB"/>
              </w:rPr>
              <w:t xml:space="preserve">Facebook is a good platform for second career workers </w:t>
            </w:r>
            <w:r w:rsidR="403406C3" w:rsidRPr="582B25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which brings in a motivated demographic.</w:t>
            </w:r>
          </w:p>
          <w:p w14:paraId="6A8F6EDA" w14:textId="4EE935AE" w:rsidR="00644200" w:rsidRDefault="54989984" w:rsidP="1C7AD5C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To r</w:t>
            </w:r>
            <w:r w:rsidR="021653C6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aise awareness of new Un</w:t>
            </w:r>
            <w:r w:rsidR="00C934E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iversity</w:t>
            </w:r>
            <w:r w:rsidR="0064420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  <w:r w:rsidR="00C934E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20% discount on fees to alumn</w:t>
            </w:r>
            <w:r w:rsidR="2D1230C2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i</w:t>
            </w:r>
            <w:r w:rsidR="0064420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and friends and family. </w:t>
            </w:r>
          </w:p>
          <w:p w14:paraId="2A38F05A" w14:textId="2349BE9A" w:rsidR="00A74A5B" w:rsidRPr="00A74A5B" w:rsidRDefault="0522865E" w:rsidP="582B258B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eastAsia="Times New Roman"/>
                <w:color w:val="000000"/>
                <w:lang w:eastAsia="en-GB"/>
              </w:rPr>
            </w:pPr>
            <w:r w:rsidRPr="582B258B">
              <w:rPr>
                <w:rFonts w:eastAsia="Times New Roman"/>
                <w:color w:val="000000" w:themeColor="text1"/>
                <w:lang w:eastAsia="en-GB"/>
              </w:rPr>
              <w:t xml:space="preserve">More marketing on benefits of attending a </w:t>
            </w:r>
            <w:r w:rsidR="00A74A5B" w:rsidRPr="582B258B">
              <w:rPr>
                <w:rFonts w:eastAsia="Times New Roman"/>
                <w:color w:val="000000" w:themeColor="text1"/>
                <w:lang w:eastAsia="en-GB"/>
              </w:rPr>
              <w:t>university</w:t>
            </w:r>
            <w:r w:rsidR="452AA970" w:rsidRPr="582B258B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 w:rsidR="004144D6" w:rsidRPr="582B258B">
              <w:rPr>
                <w:rFonts w:eastAsia="Times New Roman"/>
                <w:color w:val="000000" w:themeColor="text1"/>
                <w:lang w:eastAsia="en-GB"/>
              </w:rPr>
              <w:t>– research, academics</w:t>
            </w:r>
            <w:r w:rsidR="2FE189CB" w:rsidRPr="582B258B">
              <w:rPr>
                <w:rFonts w:eastAsia="Times New Roman"/>
                <w:color w:val="000000" w:themeColor="text1"/>
                <w:lang w:eastAsia="en-GB"/>
              </w:rPr>
              <w:t>, support services</w:t>
            </w:r>
            <w:r w:rsidR="004144D6" w:rsidRPr="582B258B">
              <w:rPr>
                <w:rFonts w:eastAsia="Times New Roman"/>
                <w:color w:val="000000" w:themeColor="text1"/>
                <w:lang w:eastAsia="en-GB"/>
              </w:rPr>
              <w:t xml:space="preserve"> etc </w:t>
            </w:r>
          </w:p>
          <w:p w14:paraId="0CBAD2D2" w14:textId="77777777" w:rsidR="00A74A5B" w:rsidRPr="00A74A5B" w:rsidRDefault="00A74A5B" w:rsidP="00A74A5B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eastAsia="Times New Roman" w:cstheme="minorHAnsi"/>
                <w:color w:val="000000"/>
                <w:lang w:eastAsia="en-GB"/>
              </w:rPr>
            </w:pPr>
            <w:r w:rsidRPr="582B258B">
              <w:rPr>
                <w:rFonts w:eastAsia="Times New Roman"/>
                <w:color w:val="000000" w:themeColor="text1"/>
                <w:lang w:eastAsia="en-GB"/>
              </w:rPr>
              <w:t>Attend 6th form career sessions</w:t>
            </w:r>
          </w:p>
          <w:p w14:paraId="1299C43A" w14:textId="56D45D44" w:rsidR="00644200" w:rsidRDefault="00644200" w:rsidP="1C7AD5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71DDCC08" w14:textId="77777777" w:rsidR="00644200" w:rsidRPr="002D724A" w:rsidRDefault="00644200" w:rsidP="00794EF5">
            <w:pPr>
              <w:shd w:val="clear" w:color="auto" w:fill="FFFFFF"/>
              <w:rPr>
                <w:rFonts w:ascii="Calibri" w:eastAsia="Times New Roman" w:hAnsi="Calibri" w:cs="Calibri"/>
                <w:b/>
                <w:color w:val="242424"/>
                <w:lang w:eastAsia="en-GB"/>
              </w:rPr>
            </w:pPr>
            <w:r w:rsidRPr="002D724A">
              <w:rPr>
                <w:rFonts w:ascii="Calibri" w:eastAsia="Times New Roman" w:hAnsi="Calibri" w:cs="Calibri"/>
                <w:b/>
                <w:color w:val="242424"/>
                <w:lang w:eastAsia="en-GB"/>
              </w:rPr>
              <w:t>Formalising Social Justice in PGCE</w:t>
            </w:r>
          </w:p>
          <w:p w14:paraId="2BCCE8F2" w14:textId="4064B268" w:rsidR="00DA4584" w:rsidRDefault="4C5D97AC" w:rsidP="582B258B">
            <w:p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D</w:t>
            </w:r>
            <w:r w:rsidR="00DA4584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iscussed as a p</w:t>
            </w:r>
            <w:r w:rsidR="0045349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o</w:t>
            </w:r>
            <w:r w:rsidR="00DA4584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ssible optional </w:t>
            </w:r>
            <w:r w:rsidR="1F86795C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module which could include educational experiences</w:t>
            </w:r>
            <w:r w:rsidR="0C3F7F1F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during the taught course</w:t>
            </w:r>
            <w:r w:rsidR="1F86795C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. Ideas from SIPG members: </w:t>
            </w:r>
          </w:p>
          <w:p w14:paraId="70FC2341" w14:textId="156FDC00" w:rsidR="00DA4584" w:rsidRPr="00DA4584" w:rsidRDefault="00DA4584" w:rsidP="582B258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Potential opportunities </w:t>
            </w:r>
            <w:r w:rsidR="37173AC2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in alternative settings </w:t>
            </w:r>
            <w:r w:rsidR="7ED8EBF4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such as </w:t>
            </w:r>
            <w:r w:rsidR="0064420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De</w:t>
            </w: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von Short Stay</w:t>
            </w:r>
            <w:r w:rsidR="45272F0E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/</w:t>
            </w: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Deaf Academy</w:t>
            </w:r>
            <w:r w:rsidR="3D7DD126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or schools with alternative provision</w:t>
            </w:r>
          </w:p>
          <w:p w14:paraId="37DFAA9D" w14:textId="6066B495" w:rsidR="00644200" w:rsidRDefault="3D7DD126" w:rsidP="582B258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P</w:t>
            </w:r>
            <w:r w:rsidR="4A306B5F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lacements in a</w:t>
            </w:r>
            <w:r w:rsidR="007245F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reas</w:t>
            </w:r>
            <w:r w:rsidR="0045349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  <w:r w:rsidR="677D7DFE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of l</w:t>
            </w:r>
            <w:r w:rsidR="0045349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ow </w:t>
            </w:r>
            <w:r w:rsidR="3A573E43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s</w:t>
            </w:r>
            <w:r w:rsidR="0045349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ocial </w:t>
            </w:r>
            <w:r w:rsidR="243A5052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m</w:t>
            </w:r>
            <w:r w:rsidR="00453498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obility</w:t>
            </w:r>
            <w:r w:rsidR="786D094B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such as </w:t>
            </w:r>
            <w:r w:rsidR="00DA4584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North Devon </w:t>
            </w:r>
          </w:p>
          <w:p w14:paraId="16501F79" w14:textId="269A5C63" w:rsidR="1C7AD5C2" w:rsidRDefault="30400CE8" w:rsidP="68D300C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Visits to </w:t>
            </w:r>
            <w:r w:rsidR="00DA4584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Children’s Centres </w:t>
            </w:r>
          </w:p>
          <w:p w14:paraId="6CCEE591" w14:textId="541B3EB7" w:rsidR="00794EF5" w:rsidRDefault="00235636" w:rsidP="582B258B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582B258B">
              <w:rPr>
                <w:rFonts w:asciiTheme="minorHAnsi" w:hAnsiTheme="minorHAnsi" w:cstheme="minorBidi"/>
                <w:sz w:val="22"/>
                <w:szCs w:val="22"/>
              </w:rPr>
              <w:t>‘</w:t>
            </w:r>
            <w:r w:rsidR="10874919" w:rsidRPr="582B258B">
              <w:rPr>
                <w:rFonts w:asciiTheme="minorHAnsi" w:hAnsiTheme="minorHAnsi" w:cstheme="minorBidi"/>
                <w:sz w:val="22"/>
                <w:szCs w:val="22"/>
              </w:rPr>
              <w:t>B</w:t>
            </w:r>
            <w:r w:rsidRPr="582B258B">
              <w:rPr>
                <w:rFonts w:asciiTheme="minorHAnsi" w:hAnsiTheme="minorHAnsi" w:cstheme="minorBidi"/>
                <w:sz w:val="22"/>
                <w:szCs w:val="22"/>
              </w:rPr>
              <w:t>adge’ an Exeter PGCE as linked to social just</w:t>
            </w:r>
            <w:r w:rsidR="00B43A3B" w:rsidRPr="582B258B">
              <w:rPr>
                <w:rFonts w:asciiTheme="minorHAnsi" w:hAnsiTheme="minorHAnsi" w:cstheme="minorBidi"/>
                <w:sz w:val="22"/>
                <w:szCs w:val="22"/>
              </w:rPr>
              <w:t>ic</w:t>
            </w:r>
            <w:r w:rsidR="00D84368" w:rsidRPr="582B258B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Pr="582B258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1BA84E48" w14:textId="615C5D01" w:rsidR="00794EF5" w:rsidRDefault="77DAEC5D" w:rsidP="00A74A5B">
            <w:pPr>
              <w:pStyle w:val="NormalWeb"/>
              <w:numPr>
                <w:ilvl w:val="0"/>
                <w:numId w:val="12"/>
              </w:numPr>
            </w:pPr>
            <w:r w:rsidRPr="582B258B">
              <w:rPr>
                <w:rFonts w:asciiTheme="minorHAnsi" w:hAnsiTheme="minorHAnsi" w:cstheme="minorBidi"/>
                <w:sz w:val="22"/>
                <w:szCs w:val="22"/>
              </w:rPr>
              <w:t xml:space="preserve">Focus on </w:t>
            </w:r>
            <w:r w:rsidR="00235636" w:rsidRPr="582B258B">
              <w:rPr>
                <w:rFonts w:asciiTheme="minorHAnsi" w:hAnsiTheme="minorHAnsi" w:cstheme="minorBidi"/>
                <w:sz w:val="22"/>
                <w:szCs w:val="22"/>
              </w:rPr>
              <w:t>PSHE training</w:t>
            </w:r>
            <w:r w:rsidR="1314DE2D" w:rsidRPr="582B258B">
              <w:rPr>
                <w:rFonts w:asciiTheme="minorHAnsi" w:hAnsiTheme="minorHAnsi" w:cstheme="minorBidi"/>
                <w:sz w:val="22"/>
                <w:szCs w:val="22"/>
              </w:rPr>
              <w:t xml:space="preserve"> as lack of teachers with experience of this</w:t>
            </w:r>
          </w:p>
        </w:tc>
        <w:tc>
          <w:tcPr>
            <w:tcW w:w="1559" w:type="dxa"/>
          </w:tcPr>
          <w:p w14:paraId="59EAB0E2" w14:textId="1A20D881" w:rsidR="00794EF5" w:rsidRDefault="067D697D" w:rsidP="0FF8E3E5">
            <w:pPr>
              <w:rPr>
                <w:b/>
                <w:bCs/>
              </w:rPr>
            </w:pPr>
            <w:r w:rsidRPr="0FF8E3E5">
              <w:rPr>
                <w:b/>
                <w:bCs/>
              </w:rPr>
              <w:lastRenderedPageBreak/>
              <w:t>Action:</w:t>
            </w:r>
          </w:p>
          <w:p w14:paraId="49D9C5AF" w14:textId="331BDF34" w:rsidR="00794EF5" w:rsidRDefault="00794EF5" w:rsidP="582B258B"/>
          <w:p w14:paraId="69B085C7" w14:textId="7F051519" w:rsidR="00794EF5" w:rsidRDefault="00794EF5" w:rsidP="582B258B"/>
          <w:p w14:paraId="60360422" w14:textId="3A8839B5" w:rsidR="00794EF5" w:rsidRDefault="00794EF5" w:rsidP="582B258B"/>
          <w:p w14:paraId="7339A59A" w14:textId="6820E753" w:rsidR="00794EF5" w:rsidRDefault="00794EF5" w:rsidP="582B258B"/>
          <w:p w14:paraId="0C0A0ED5" w14:textId="500DC0E8" w:rsidR="00794EF5" w:rsidRDefault="00794EF5" w:rsidP="582B258B"/>
          <w:p w14:paraId="1ADAFA69" w14:textId="0706F7BD" w:rsidR="00794EF5" w:rsidRDefault="1314DE2D" w:rsidP="582B258B">
            <w:r>
              <w:t>Staff handbook to be developed for 24/25 academic year</w:t>
            </w:r>
          </w:p>
          <w:p w14:paraId="4DA8C39F" w14:textId="0ADC4807" w:rsidR="00794EF5" w:rsidRDefault="00794EF5" w:rsidP="582B258B"/>
          <w:p w14:paraId="1D6B0F19" w14:textId="3524EEDD" w:rsidR="00794EF5" w:rsidRDefault="00794EF5" w:rsidP="582B258B"/>
          <w:p w14:paraId="447B6CFB" w14:textId="4FAB1D1B" w:rsidR="00794EF5" w:rsidRDefault="00794EF5" w:rsidP="582B258B"/>
          <w:p w14:paraId="50C61D6F" w14:textId="7ACEDFDD" w:rsidR="00794EF5" w:rsidRDefault="00794EF5" w:rsidP="582B258B"/>
          <w:p w14:paraId="0B987A0A" w14:textId="5D1D5FAA" w:rsidR="00794EF5" w:rsidRDefault="00794EF5" w:rsidP="582B258B"/>
          <w:p w14:paraId="5C7AEBEC" w14:textId="6F52B5B1" w:rsidR="00794EF5" w:rsidRDefault="00794EF5" w:rsidP="582B258B"/>
          <w:p w14:paraId="6A8969AF" w14:textId="6317405C" w:rsidR="00794EF5" w:rsidRDefault="00794EF5" w:rsidP="582B258B"/>
          <w:p w14:paraId="7AC07CFD" w14:textId="0E979310" w:rsidR="00794EF5" w:rsidRDefault="00794EF5" w:rsidP="582B258B"/>
          <w:p w14:paraId="00719ADE" w14:textId="4A8AA730" w:rsidR="00794EF5" w:rsidRDefault="00794EF5" w:rsidP="582B258B"/>
          <w:p w14:paraId="587EA3FC" w14:textId="35C68134" w:rsidR="00794EF5" w:rsidRDefault="00794EF5" w:rsidP="582B258B"/>
          <w:p w14:paraId="33408EFA" w14:textId="2CB3848E" w:rsidR="00794EF5" w:rsidRDefault="00794EF5" w:rsidP="582B258B"/>
          <w:p w14:paraId="32E1BCCE" w14:textId="77777777" w:rsidR="00457764" w:rsidRDefault="00457764" w:rsidP="582B258B"/>
          <w:p w14:paraId="26A3D516" w14:textId="489262B6" w:rsidR="00794EF5" w:rsidRDefault="1314DE2D" w:rsidP="582B258B">
            <w:r>
              <w:lastRenderedPageBreak/>
              <w:t>Explore developing school tasters to support recruitment</w:t>
            </w:r>
          </w:p>
          <w:p w14:paraId="37D60FC3" w14:textId="31C6EF92" w:rsidR="00794EF5" w:rsidRDefault="00794EF5" w:rsidP="582B258B"/>
          <w:p w14:paraId="444478FF" w14:textId="1C83F202" w:rsidR="00794EF5" w:rsidRDefault="1314DE2D" w:rsidP="582B258B">
            <w:r>
              <w:t xml:space="preserve">Consider social media presence </w:t>
            </w:r>
          </w:p>
          <w:p w14:paraId="3320EB7F" w14:textId="05FCE5F8" w:rsidR="00794EF5" w:rsidRDefault="00794EF5" w:rsidP="582B258B"/>
          <w:p w14:paraId="6E5DB27A" w14:textId="1E48960B" w:rsidR="0FF8E3E5" w:rsidRDefault="0FF8E3E5" w:rsidP="0FF8E3E5"/>
          <w:p w14:paraId="1B536703" w14:textId="65950749" w:rsidR="00794EF5" w:rsidRDefault="1314DE2D" w:rsidP="582B258B">
            <w:r>
              <w:t>Consider how to raise awareness of 20% discount and benefits of attending a university for PGCE</w:t>
            </w:r>
          </w:p>
          <w:p w14:paraId="7C7E04A4" w14:textId="4F48D25C" w:rsidR="00794EF5" w:rsidRDefault="00794EF5" w:rsidP="582B258B"/>
          <w:p w14:paraId="2C89BCE4" w14:textId="3B4D7F2C" w:rsidR="00794EF5" w:rsidRDefault="00794EF5" w:rsidP="582B258B"/>
          <w:p w14:paraId="0C94A94C" w14:textId="4246D42D" w:rsidR="00794EF5" w:rsidRDefault="00794EF5" w:rsidP="582B258B"/>
          <w:p w14:paraId="1925BB4E" w14:textId="3E096231" w:rsidR="00794EF5" w:rsidRDefault="00794EF5" w:rsidP="582B258B"/>
          <w:p w14:paraId="5C878904" w14:textId="090C2187" w:rsidR="00794EF5" w:rsidRDefault="00794EF5" w:rsidP="582B258B"/>
          <w:p w14:paraId="133ABFD8" w14:textId="16DDAF89" w:rsidR="00794EF5" w:rsidRDefault="00794EF5" w:rsidP="582B258B"/>
          <w:p w14:paraId="1DF25CAB" w14:textId="6EB297C4" w:rsidR="00794EF5" w:rsidRDefault="00794EF5" w:rsidP="582B258B"/>
          <w:p w14:paraId="42A3AE4C" w14:textId="2E1548F6" w:rsidR="00794EF5" w:rsidRDefault="00794EF5" w:rsidP="582B258B"/>
          <w:p w14:paraId="4DDBEF00" w14:textId="52705D11" w:rsidR="00794EF5" w:rsidRDefault="1314DE2D" w:rsidP="582B258B">
            <w:r>
              <w:t>TR to lead development of optional module for 25/26 with primary and secondary teams</w:t>
            </w:r>
          </w:p>
        </w:tc>
      </w:tr>
      <w:tr w:rsidR="00794EF5" w14:paraId="29DA9A58" w14:textId="77777777" w:rsidTr="0FF8E3E5">
        <w:tc>
          <w:tcPr>
            <w:tcW w:w="893" w:type="dxa"/>
          </w:tcPr>
          <w:p w14:paraId="47886996" w14:textId="77777777" w:rsidR="00794EF5" w:rsidRDefault="00794EF5">
            <w:r>
              <w:lastRenderedPageBreak/>
              <w:t>2.</w:t>
            </w:r>
          </w:p>
        </w:tc>
        <w:tc>
          <w:tcPr>
            <w:tcW w:w="7754" w:type="dxa"/>
          </w:tcPr>
          <w:p w14:paraId="2D90D83A" w14:textId="0E78F7EE" w:rsidR="00794EF5" w:rsidRPr="001E184A" w:rsidRDefault="00794EF5" w:rsidP="0D808358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 xml:space="preserve">Intensive Training and Practice </w:t>
            </w:r>
            <w:r w:rsidR="6F42527E"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 xml:space="preserve">(ITAP) </w:t>
            </w:r>
            <w:r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>plans</w:t>
            </w:r>
          </w:p>
          <w:p w14:paraId="3461D779" w14:textId="77777777" w:rsidR="00612716" w:rsidRDefault="00612716" w:rsidP="00794EF5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</w:p>
          <w:p w14:paraId="399CF3AA" w14:textId="64DAB4CE" w:rsidR="00612716" w:rsidRDefault="00E3305E" w:rsidP="0D808358">
            <w:p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All training provider</w:t>
            </w:r>
            <w:r w:rsidR="00650FA5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s are now required to </w:t>
            </w:r>
            <w:r w:rsidR="00612716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include </w:t>
            </w:r>
            <w:r w:rsidR="00650FA5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four </w:t>
            </w:r>
            <w:r w:rsidR="00612716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ITAP weeks</w:t>
            </w:r>
            <w:r w:rsidR="06B980B2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for 24/25</w:t>
            </w:r>
            <w:r w:rsidR="00612716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. </w:t>
            </w:r>
            <w:r w:rsidR="00537B65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There is s</w:t>
            </w:r>
            <w:r w:rsidR="00612716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pecific focus on </w:t>
            </w:r>
            <w:r w:rsidR="00537B65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an </w:t>
            </w:r>
            <w:r w:rsidR="00612716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aspect of teaching with exp</w:t>
            </w:r>
            <w:r w:rsidR="00537B65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ert input and</w:t>
            </w:r>
            <w:r w:rsidR="00612716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time in school</w:t>
            </w:r>
            <w:r w:rsidR="00650FA5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. </w:t>
            </w:r>
          </w:p>
          <w:p w14:paraId="4292E121" w14:textId="6F19B4D8" w:rsidR="00537B65" w:rsidRPr="00537B65" w:rsidRDefault="000064AB" w:rsidP="68D300C9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Secondary</w:t>
            </w:r>
            <w:r w:rsidR="001E184A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– Learning Environment, Assessment, Adaptive Teaching, Literacy and Numeracy across the curriculum.</w:t>
            </w: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  <w:r w:rsidR="33C99BF2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School experience e</w:t>
            </w:r>
            <w:r w:rsidR="6E80EC1B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mbedded into placements.</w:t>
            </w:r>
          </w:p>
          <w:p w14:paraId="06364E13" w14:textId="0A3B9B57" w:rsidR="00A74A5B" w:rsidRPr="00A74A5B" w:rsidRDefault="004B5DA3" w:rsidP="1C7AD5C2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Primary – Early Reading, formative assessment, effective questioning, adaptive teaching. Grouped as a week each</w:t>
            </w:r>
            <w:r w:rsidR="2DE737B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with one day of school experience</w:t>
            </w: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.</w:t>
            </w:r>
            <w:r w:rsidR="00A6622C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 </w:t>
            </w:r>
            <w:r w:rsidR="2F35862E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The f</w:t>
            </w:r>
            <w:r w:rsidR="00A6622C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irst two Primary ITAPS are in </w:t>
            </w:r>
            <w:r w:rsidR="41B732C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non-placement </w:t>
            </w:r>
            <w:r w:rsidR="00A6622C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schools.</w:t>
            </w:r>
          </w:p>
          <w:p w14:paraId="3CF2D8B6" w14:textId="77777777" w:rsidR="000064AB" w:rsidRPr="009C15AC" w:rsidRDefault="000064AB" w:rsidP="00794EF5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</w:p>
          <w:p w14:paraId="6C64E6F8" w14:textId="47483EA6" w:rsidR="00433E18" w:rsidRDefault="5CD720C2">
            <w:r>
              <w:t>SIPG members</w:t>
            </w:r>
            <w:r w:rsidR="00537B65">
              <w:t xml:space="preserve"> discussed whether the school </w:t>
            </w:r>
            <w:r w:rsidR="350B8027">
              <w:t>ITAP</w:t>
            </w:r>
            <w:r w:rsidR="09D4C7CB">
              <w:t xml:space="preserve"> activities</w:t>
            </w:r>
            <w:r w:rsidR="350B8027">
              <w:t xml:space="preserve"> l</w:t>
            </w:r>
            <w:r w:rsidR="00537B65">
              <w:t>ook</w:t>
            </w:r>
            <w:r w:rsidR="0AFEE13F">
              <w:t>ed</w:t>
            </w:r>
            <w:r w:rsidR="00537B65">
              <w:t xml:space="preserve"> manageable.</w:t>
            </w:r>
          </w:p>
          <w:p w14:paraId="5C461B1B" w14:textId="5370BA8D" w:rsidR="19800642" w:rsidRDefault="19800642" w:rsidP="62B9C8EB">
            <w:pPr>
              <w:pStyle w:val="ListParagraph"/>
              <w:numPr>
                <w:ilvl w:val="0"/>
                <w:numId w:val="16"/>
              </w:numPr>
              <w:spacing w:line="259" w:lineRule="auto"/>
            </w:pPr>
            <w:r>
              <w:t>Primary</w:t>
            </w:r>
            <w:r w:rsidR="6E014BC4">
              <w:t xml:space="preserve"> - </w:t>
            </w:r>
            <w:r w:rsidR="5A3D081E">
              <w:t>large groups of trainees in specific schools</w:t>
            </w:r>
            <w:r w:rsidR="5D451E34">
              <w:t xml:space="preserve"> could be challenging</w:t>
            </w:r>
          </w:p>
          <w:p w14:paraId="09AA6B8D" w14:textId="23B6F676" w:rsidR="00A74A5B" w:rsidRPr="00A74A5B" w:rsidRDefault="1982A4EF" w:rsidP="62B9C8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582B258B">
              <w:rPr>
                <w:color w:val="000000" w:themeColor="text1"/>
              </w:rPr>
              <w:t>School members commented that t</w:t>
            </w:r>
            <w:r w:rsidR="00A74A5B" w:rsidRPr="582B258B">
              <w:rPr>
                <w:color w:val="000000" w:themeColor="text1"/>
              </w:rPr>
              <w:t xml:space="preserve">here </w:t>
            </w:r>
            <w:r w:rsidR="59CFAB77" w:rsidRPr="582B258B">
              <w:rPr>
                <w:color w:val="000000" w:themeColor="text1"/>
              </w:rPr>
              <w:t>was</w:t>
            </w:r>
            <w:r w:rsidR="00A74A5B" w:rsidRPr="582B258B">
              <w:rPr>
                <w:color w:val="000000" w:themeColor="text1"/>
              </w:rPr>
              <w:t xml:space="preserve"> a lot of things to deliver in </w:t>
            </w:r>
            <w:r w:rsidR="7B65B0B8" w:rsidRPr="582B258B">
              <w:rPr>
                <w:color w:val="000000" w:themeColor="text1"/>
              </w:rPr>
              <w:t>the</w:t>
            </w:r>
            <w:r w:rsidR="00A74A5B" w:rsidRPr="582B258B">
              <w:rPr>
                <w:color w:val="000000" w:themeColor="text1"/>
              </w:rPr>
              <w:t xml:space="preserve"> school</w:t>
            </w:r>
            <w:r w:rsidR="044D4FF0" w:rsidRPr="582B258B">
              <w:rPr>
                <w:color w:val="000000" w:themeColor="text1"/>
              </w:rPr>
              <w:t xml:space="preserve"> </w:t>
            </w:r>
            <w:r w:rsidR="510FFDBF" w:rsidRPr="582B258B">
              <w:rPr>
                <w:color w:val="000000" w:themeColor="text1"/>
              </w:rPr>
              <w:t xml:space="preserve">day </w:t>
            </w:r>
            <w:r w:rsidR="044D4FF0" w:rsidRPr="582B258B">
              <w:rPr>
                <w:color w:val="000000" w:themeColor="text1"/>
              </w:rPr>
              <w:t>so it might need reducing</w:t>
            </w:r>
            <w:r w:rsidR="4D8B0DEE" w:rsidRPr="582B258B">
              <w:rPr>
                <w:color w:val="000000" w:themeColor="text1"/>
              </w:rPr>
              <w:t xml:space="preserve"> and logistics considering</w:t>
            </w:r>
          </w:p>
          <w:p w14:paraId="3C75E162" w14:textId="0A2CE997" w:rsidR="736F5F20" w:rsidRDefault="736F5F20" w:rsidP="582B258B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Secondary: </w:t>
            </w:r>
            <w:r w:rsidR="1DAE096F" w:rsidRPr="582B258B">
              <w:t xml:space="preserve">having the prescriptive ITAP 1 which includes planning was positively received by school as it would mean that everyone has at least </w:t>
            </w:r>
            <w:r w:rsidR="3296CE52" w:rsidRPr="582B258B">
              <w:t>have some input</w:t>
            </w:r>
            <w:r w:rsidR="184FD74F" w:rsidRPr="582B258B">
              <w:t xml:space="preserve"> and opportunities to plan lessons</w:t>
            </w:r>
            <w:r w:rsidR="1DAE096F" w:rsidRPr="582B258B">
              <w:t>. Some schools now insist on using pre prepared planning</w:t>
            </w:r>
            <w:r w:rsidR="6CB68D33" w:rsidRPr="582B258B">
              <w:t xml:space="preserve"> </w:t>
            </w:r>
            <w:r w:rsidR="38FD64B6" w:rsidRPr="582B258B">
              <w:t>which can then be challenging for trainees when they move to school 2</w:t>
            </w:r>
            <w:r w:rsidR="1DAE096F" w:rsidRPr="582B258B">
              <w:t xml:space="preserve">.  </w:t>
            </w:r>
          </w:p>
          <w:p w14:paraId="0FB78278" w14:textId="62EB3E15" w:rsidR="00995203" w:rsidRDefault="000864F3" w:rsidP="582B258B">
            <w:pPr>
              <w:pStyle w:val="ListParagraph"/>
              <w:numPr>
                <w:ilvl w:val="0"/>
                <w:numId w:val="16"/>
              </w:numPr>
            </w:pPr>
            <w:r>
              <w:t>B</w:t>
            </w:r>
            <w:r w:rsidR="00995203">
              <w:t>ehaviour has escalated in ways tha</w:t>
            </w:r>
            <w:r w:rsidR="00650FA5">
              <w:t xml:space="preserve">t no one could have </w:t>
            </w:r>
            <w:r w:rsidR="30E2E77A">
              <w:t>anticipated</w:t>
            </w:r>
            <w:r w:rsidR="09B4FE85">
              <w:t xml:space="preserve"> so the first ITAP focus could really </w:t>
            </w:r>
            <w:r w:rsidR="00995203">
              <w:t>help to get them established and retained.</w:t>
            </w:r>
          </w:p>
        </w:tc>
        <w:tc>
          <w:tcPr>
            <w:tcW w:w="1559" w:type="dxa"/>
          </w:tcPr>
          <w:p w14:paraId="17B2F556" w14:textId="77777777" w:rsidR="00794EF5" w:rsidRPr="00C73BFB" w:rsidRDefault="00C73BFB">
            <w:pPr>
              <w:rPr>
                <w:b/>
              </w:rPr>
            </w:pPr>
            <w:r w:rsidRPr="00C73BFB">
              <w:rPr>
                <w:b/>
              </w:rPr>
              <w:lastRenderedPageBreak/>
              <w:t>Action: TR and team</w:t>
            </w:r>
          </w:p>
          <w:p w14:paraId="1FC39945" w14:textId="77777777" w:rsidR="00C73BFB" w:rsidRDefault="00C73BFB"/>
          <w:p w14:paraId="7C8F44A2" w14:textId="2B598063" w:rsidR="00C73BFB" w:rsidRDefault="00C73BFB" w:rsidP="582B258B"/>
          <w:p w14:paraId="548B998E" w14:textId="2E7454A9" w:rsidR="00C73BFB" w:rsidRDefault="00C73BFB" w:rsidP="582B258B"/>
          <w:p w14:paraId="659C5ACE" w14:textId="27263770" w:rsidR="00C73BFB" w:rsidRDefault="00C73BFB" w:rsidP="582B258B"/>
          <w:p w14:paraId="4349637C" w14:textId="657CC28A" w:rsidR="00C73BFB" w:rsidRDefault="00C73BFB" w:rsidP="582B258B"/>
          <w:p w14:paraId="19605731" w14:textId="26E6A8C4" w:rsidR="00C73BFB" w:rsidRDefault="00C73BFB" w:rsidP="582B258B"/>
          <w:p w14:paraId="379582BC" w14:textId="283D369E" w:rsidR="00C73BFB" w:rsidRDefault="00C73BFB" w:rsidP="582B258B"/>
          <w:p w14:paraId="3D9A78BE" w14:textId="44D26489" w:rsidR="00C73BFB" w:rsidRDefault="00C73BFB" w:rsidP="582B258B"/>
          <w:p w14:paraId="5981270B" w14:textId="5D7772B1" w:rsidR="00C73BFB" w:rsidRDefault="00C73BFB" w:rsidP="582B258B"/>
          <w:p w14:paraId="4D4021B8" w14:textId="4986E773" w:rsidR="00C73BFB" w:rsidRDefault="00C73BFB" w:rsidP="582B258B"/>
          <w:p w14:paraId="7C5251BC" w14:textId="53D3E2B2" w:rsidR="00C73BFB" w:rsidRDefault="107A0030" w:rsidP="582B258B">
            <w:r>
              <w:t xml:space="preserve">Primary team to review school day </w:t>
            </w:r>
            <w:r>
              <w:lastRenderedPageBreak/>
              <w:t>input to ensure manageability</w:t>
            </w:r>
          </w:p>
          <w:p w14:paraId="5FB7E692" w14:textId="505454D3" w:rsidR="00C73BFB" w:rsidRDefault="00C73BFB" w:rsidP="582B258B"/>
          <w:p w14:paraId="0B8226BE" w14:textId="573706E3" w:rsidR="00C73BFB" w:rsidRDefault="00C73BFB" w:rsidP="582B258B"/>
          <w:p w14:paraId="58BD17E8" w14:textId="4C224A5F" w:rsidR="00C73BFB" w:rsidRDefault="00C73BFB" w:rsidP="582B258B"/>
          <w:p w14:paraId="0F2FB6D0" w14:textId="21D11066" w:rsidR="00C73BFB" w:rsidRDefault="00C73BFB" w:rsidP="582B258B"/>
        </w:tc>
      </w:tr>
      <w:tr w:rsidR="00794EF5" w14:paraId="0B2FEFF1" w14:textId="77777777" w:rsidTr="0FF8E3E5">
        <w:tc>
          <w:tcPr>
            <w:tcW w:w="893" w:type="dxa"/>
          </w:tcPr>
          <w:p w14:paraId="1F75A9DD" w14:textId="77777777" w:rsidR="00794EF5" w:rsidRDefault="00794EF5">
            <w:r>
              <w:lastRenderedPageBreak/>
              <w:t>3.</w:t>
            </w:r>
          </w:p>
        </w:tc>
        <w:tc>
          <w:tcPr>
            <w:tcW w:w="7754" w:type="dxa"/>
          </w:tcPr>
          <w:p w14:paraId="719FD460" w14:textId="77777777" w:rsidR="00794EF5" w:rsidRPr="00DE6889" w:rsidRDefault="00794EF5" w:rsidP="00794EF5">
            <w:pPr>
              <w:shd w:val="clear" w:color="auto" w:fill="FFFFFF"/>
              <w:rPr>
                <w:rFonts w:ascii="Calibri" w:eastAsia="Times New Roman" w:hAnsi="Calibri" w:cs="Calibri"/>
                <w:b/>
                <w:color w:val="242424"/>
                <w:lang w:eastAsia="en-GB"/>
              </w:rPr>
            </w:pPr>
            <w:r w:rsidRPr="00DE6889">
              <w:rPr>
                <w:rFonts w:ascii="Calibri" w:eastAsia="Times New Roman" w:hAnsi="Calibri" w:cs="Calibri"/>
                <w:b/>
                <w:color w:val="242424"/>
                <w:lang w:eastAsia="en-GB"/>
              </w:rPr>
              <w:t>The new Mentoring Curriculum – reducing impact on schools</w:t>
            </w:r>
          </w:p>
          <w:p w14:paraId="0562CB0E" w14:textId="77777777" w:rsidR="00DE6889" w:rsidRDefault="00DE6889" w:rsidP="00794EF5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</w:p>
          <w:p w14:paraId="4FF5F934" w14:textId="6532763B" w:rsidR="00DE6889" w:rsidRDefault="004C72D1" w:rsidP="582B258B">
            <w:p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BS presented the new mentor training format, seeking to both minimise and maximise impact in schools.</w:t>
            </w:r>
            <w:r w:rsidR="005129C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</w:p>
          <w:p w14:paraId="08490A5B" w14:textId="6723E18C" w:rsidR="00DE6889" w:rsidRPr="00DA4584" w:rsidRDefault="00DE6889" w:rsidP="0D808358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D808358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UNIT 1 </w:t>
            </w:r>
            <w:r w:rsidR="005129C0" w:rsidRPr="0D808358">
              <w:rPr>
                <w:rFonts w:ascii="Calibri" w:eastAsia="Times New Roman" w:hAnsi="Calibri" w:cs="Calibri"/>
                <w:color w:val="242424"/>
                <w:lang w:eastAsia="en-GB"/>
              </w:rPr>
              <w:t>- NASBI</w:t>
            </w:r>
            <w:r w:rsidR="496486FA" w:rsidRPr="0D808358">
              <w:rPr>
                <w:rFonts w:ascii="Calibri" w:eastAsia="Times New Roman" w:hAnsi="Calibri" w:cs="Calibri"/>
                <w:color w:val="242424"/>
                <w:lang w:eastAsia="en-GB"/>
              </w:rPr>
              <w:t>T</w:t>
            </w:r>
            <w:r w:rsidR="005129C0" w:rsidRPr="0D808358">
              <w:rPr>
                <w:rFonts w:ascii="Calibri" w:eastAsia="Times New Roman" w:hAnsi="Calibri" w:cs="Calibri"/>
                <w:color w:val="242424"/>
                <w:lang w:eastAsia="en-GB"/>
              </w:rPr>
              <w:t>T units –</w:t>
            </w:r>
            <w:r w:rsidRPr="0D808358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(10 hours). </w:t>
            </w:r>
            <w:r w:rsidR="005129C0" w:rsidRPr="0D808358">
              <w:rPr>
                <w:rFonts w:ascii="Calibri" w:eastAsia="Times New Roman" w:hAnsi="Calibri" w:cs="Calibri"/>
                <w:color w:val="242424"/>
                <w:lang w:eastAsia="en-GB"/>
              </w:rPr>
              <w:t>This is general mentoring with a series of c</w:t>
            </w:r>
            <w:r w:rsidRPr="0D808358">
              <w:rPr>
                <w:rFonts w:ascii="Calibri" w:eastAsia="Times New Roman" w:hAnsi="Calibri" w:cs="Calibri"/>
                <w:color w:val="242424"/>
                <w:lang w:eastAsia="en-GB"/>
              </w:rPr>
              <w:t>hoices available.</w:t>
            </w:r>
          </w:p>
          <w:p w14:paraId="251B5BE2" w14:textId="571D8593" w:rsidR="00DE6889" w:rsidRPr="00DA4584" w:rsidRDefault="005129C0" w:rsidP="582B258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UNIT 2 – (5 hours equivalent</w:t>
            </w:r>
            <w:r w:rsidR="00DE688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) – Exete</w:t>
            </w: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r Model training</w:t>
            </w:r>
            <w:r w:rsidR="39735DBE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, plan to </w:t>
            </w:r>
            <w:r w:rsidR="00DE688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pr</w:t>
            </w:r>
            <w:r w:rsidR="56632CA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ior</w:t>
            </w:r>
            <w:r w:rsidR="0038162C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-</w:t>
            </w: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accredit if mentors have </w:t>
            </w:r>
            <w:r w:rsidR="5604C3BF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completed training in last 2 years</w:t>
            </w:r>
            <w:r w:rsidR="00DE688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.</w:t>
            </w:r>
          </w:p>
          <w:p w14:paraId="58A55C9A" w14:textId="52C7A474" w:rsidR="00DE6889" w:rsidRPr="00DA4584" w:rsidRDefault="00DE6889" w:rsidP="582B258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UNIT</w:t>
            </w:r>
            <w:r w:rsidR="00EA78A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3 – (5 hours) </w:t>
            </w:r>
            <w:r w:rsidR="005129C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- </w:t>
            </w: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development t</w:t>
            </w:r>
            <w:r w:rsidR="005129C0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hrough communities of practice.  </w:t>
            </w: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</w:p>
          <w:p w14:paraId="1A5C5388" w14:textId="3F2F4FE5" w:rsidR="00DE6889" w:rsidRPr="00DA4584" w:rsidRDefault="00355E22" w:rsidP="582B258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Year 2 will require </w:t>
            </w:r>
            <w:r w:rsidR="00770F1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6 hours a year, comprising 1 hour of U</w:t>
            </w:r>
            <w:r w:rsidR="00DE688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nit </w:t>
            </w:r>
            <w:r w:rsidR="18C5D057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2</w:t>
            </w:r>
            <w:r w:rsidR="00DE688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refresher</w:t>
            </w:r>
            <w:r w:rsidR="00770F11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and 5 hours of U</w:t>
            </w:r>
            <w:r w:rsidR="00DE688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nit 3 annually.</w:t>
            </w:r>
          </w:p>
          <w:p w14:paraId="34CE0A41" w14:textId="77777777" w:rsidR="005129C0" w:rsidRDefault="005129C0" w:rsidP="00794EF5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</w:p>
          <w:p w14:paraId="1D948013" w14:textId="074CB7DA" w:rsidR="00DE6889" w:rsidRDefault="09426DF2" w:rsidP="582B258B">
            <w:p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>Discussion - w</w:t>
            </w:r>
            <w:r w:rsidR="00DE6889"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>hat should mentor meets look like</w:t>
            </w:r>
            <w:r w:rsidR="4CF9D77D" w:rsidRPr="582B258B"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  <w:t>:</w:t>
            </w:r>
          </w:p>
          <w:p w14:paraId="0336C1AC" w14:textId="292DB804" w:rsidR="004144D6" w:rsidRDefault="004144D6" w:rsidP="582B258B">
            <w:pPr>
              <w:pStyle w:val="ListParagraph"/>
              <w:numPr>
                <w:ilvl w:val="0"/>
                <w:numId w:val="17"/>
              </w:numPr>
              <w:spacing w:line="256" w:lineRule="auto"/>
            </w:pPr>
            <w:r>
              <w:t xml:space="preserve">PSHE focus would be helpful </w:t>
            </w:r>
          </w:p>
          <w:p w14:paraId="484FAA6E" w14:textId="22027027" w:rsidR="004144D6" w:rsidRDefault="004144D6" w:rsidP="004144D6">
            <w:pPr>
              <w:pStyle w:val="ListParagraph"/>
              <w:numPr>
                <w:ilvl w:val="0"/>
                <w:numId w:val="17"/>
              </w:numPr>
              <w:spacing w:line="256" w:lineRule="auto"/>
            </w:pPr>
            <w:r>
              <w:t>Best way to observe a lesson – in some schools it is now about the narrative</w:t>
            </w:r>
            <w:r w:rsidR="116113BC">
              <w:t>. It w</w:t>
            </w:r>
            <w:r>
              <w:t>ould be useful to talk as a group about what others do and best practice</w:t>
            </w:r>
            <w:r w:rsidR="294CA838">
              <w:t>.</w:t>
            </w:r>
          </w:p>
          <w:p w14:paraId="335E2238" w14:textId="79733BFC" w:rsidR="004144D6" w:rsidRPr="004144D6" w:rsidRDefault="4E4DE987" w:rsidP="004144D6">
            <w:pPr>
              <w:pStyle w:val="ListParagraph"/>
              <w:numPr>
                <w:ilvl w:val="0"/>
                <w:numId w:val="17"/>
              </w:numPr>
              <w:spacing w:line="256" w:lineRule="auto"/>
            </w:pPr>
            <w:r>
              <w:t>Input on g</w:t>
            </w:r>
            <w:r w:rsidR="004144D6">
              <w:t>iving feedback</w:t>
            </w:r>
          </w:p>
          <w:p w14:paraId="0F813782" w14:textId="5C919AE7" w:rsidR="7CFB7668" w:rsidRDefault="7CFB7668" w:rsidP="582B258B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T</w:t>
            </w:r>
            <w:r w:rsidR="00DA4584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raining </w:t>
            </w:r>
            <w:r w:rsidR="31FA318D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in different locations </w:t>
            </w:r>
          </w:p>
          <w:p w14:paraId="2AB72F8A" w14:textId="1012D576" w:rsidR="31FA318D" w:rsidRDefault="31FA318D" w:rsidP="582B258B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="259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Sharing good practice and experiences</w:t>
            </w:r>
          </w:p>
          <w:p w14:paraId="452B3ADC" w14:textId="77777777" w:rsidR="004144D6" w:rsidRPr="004144D6" w:rsidRDefault="004144D6" w:rsidP="00794EF5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lang w:eastAsia="en-GB"/>
              </w:rPr>
              <w:t>Looking at phases and scenarios</w:t>
            </w:r>
          </w:p>
          <w:p w14:paraId="05989DA8" w14:textId="765B0E14" w:rsidR="000F77B9" w:rsidRPr="004144D6" w:rsidRDefault="07863F1E" w:rsidP="1C7AD5C2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1C7AD5C2">
              <w:rPr>
                <w:rFonts w:ascii="Calibri" w:eastAsia="Times New Roman" w:hAnsi="Calibri" w:cs="Calibri"/>
                <w:color w:val="242424"/>
                <w:lang w:eastAsia="en-GB"/>
              </w:rPr>
              <w:t>‘</w:t>
            </w:r>
            <w:r w:rsidR="7845A6DF" w:rsidRPr="1C7AD5C2">
              <w:rPr>
                <w:rFonts w:ascii="Calibri" w:eastAsia="Times New Roman" w:hAnsi="Calibri" w:cs="Calibri"/>
                <w:color w:val="242424"/>
                <w:lang w:eastAsia="en-GB"/>
              </w:rPr>
              <w:t>Su</w:t>
            </w:r>
            <w:r w:rsidR="00500838" w:rsidRPr="1C7AD5C2">
              <w:rPr>
                <w:rFonts w:ascii="Calibri" w:eastAsia="Times New Roman" w:hAnsi="Calibri" w:cs="Calibri"/>
                <w:color w:val="242424"/>
                <w:lang w:eastAsia="en-GB"/>
              </w:rPr>
              <w:t>rgery</w:t>
            </w:r>
            <w:r w:rsidR="49F185B7" w:rsidRPr="1C7AD5C2">
              <w:rPr>
                <w:rFonts w:ascii="Calibri" w:eastAsia="Times New Roman" w:hAnsi="Calibri" w:cs="Calibri"/>
                <w:color w:val="242424"/>
                <w:lang w:eastAsia="en-GB"/>
              </w:rPr>
              <w:t>’</w:t>
            </w:r>
            <w:r w:rsidR="00500838" w:rsidRPr="1C7AD5C2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time </w:t>
            </w:r>
            <w:r w:rsidR="2BE7FF5C" w:rsidRPr="1C7AD5C2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could be </w:t>
            </w:r>
            <w:r w:rsidR="00355E22" w:rsidRPr="1C7AD5C2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available to book </w:t>
            </w:r>
            <w:r w:rsidR="00500838" w:rsidRPr="1C7AD5C2">
              <w:rPr>
                <w:rFonts w:ascii="Calibri" w:eastAsia="Times New Roman" w:hAnsi="Calibri" w:cs="Calibri"/>
                <w:color w:val="242424"/>
                <w:lang w:eastAsia="en-GB"/>
              </w:rPr>
              <w:t>time and deal with a problem.</w:t>
            </w:r>
          </w:p>
          <w:p w14:paraId="28151A13" w14:textId="41FEBB82" w:rsidR="003F1A8A" w:rsidRPr="001B16C1" w:rsidRDefault="35835D31" w:rsidP="1C7AD5C2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Some </w:t>
            </w:r>
            <w:r w:rsidR="000F77B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classroom</w:t>
            </w:r>
            <w:r w:rsidR="7CB9F41B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s</w:t>
            </w:r>
            <w:r w:rsidR="000F77B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  <w:r w:rsidR="6DE68155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have</w:t>
            </w:r>
            <w:r w:rsidR="000F77B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video capability</w:t>
            </w:r>
            <w:r w:rsidR="4832EE3B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to</w:t>
            </w:r>
            <w:r w:rsidR="000F77B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review lessons, evaluate and improve. </w:t>
            </w:r>
            <w:r w:rsidR="0CF2CEB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Could a lesson be</w:t>
            </w:r>
            <w:r w:rsidR="000F77B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</w:t>
            </w:r>
            <w:r w:rsidR="0CF2CEB9" w:rsidRPr="582B258B">
              <w:rPr>
                <w:rFonts w:ascii="Calibri" w:eastAsia="Times New Roman" w:hAnsi="Calibri" w:cs="Calibri"/>
                <w:color w:val="242424"/>
                <w:lang w:eastAsia="en-GB"/>
              </w:rPr>
              <w:t>recorded and then mentors could view it together</w:t>
            </w:r>
          </w:p>
          <w:p w14:paraId="62EBF3C5" w14:textId="77777777" w:rsidR="00794EF5" w:rsidRDefault="00794EF5"/>
        </w:tc>
        <w:tc>
          <w:tcPr>
            <w:tcW w:w="1559" w:type="dxa"/>
          </w:tcPr>
          <w:p w14:paraId="66F954F4" w14:textId="4E401B0B" w:rsidR="00794EF5" w:rsidRDefault="5E8E6DED" w:rsidP="0FF8E3E5">
            <w:pPr>
              <w:rPr>
                <w:b/>
                <w:bCs/>
              </w:rPr>
            </w:pPr>
            <w:r w:rsidRPr="0FF8E3E5">
              <w:rPr>
                <w:b/>
                <w:bCs/>
              </w:rPr>
              <w:t>Action:</w:t>
            </w:r>
          </w:p>
          <w:p w14:paraId="6D98A12B" w14:textId="2D3CE789" w:rsidR="00794EF5" w:rsidRDefault="0CF2CEB9">
            <w:r>
              <w:t>Develop Unit 3 - BS</w:t>
            </w:r>
          </w:p>
        </w:tc>
      </w:tr>
      <w:tr w:rsidR="00794EF5" w14:paraId="6C4A4576" w14:textId="77777777" w:rsidTr="0FF8E3E5">
        <w:tc>
          <w:tcPr>
            <w:tcW w:w="893" w:type="dxa"/>
          </w:tcPr>
          <w:p w14:paraId="0F9ABB3F" w14:textId="77777777" w:rsidR="00794EF5" w:rsidRDefault="00794EF5">
            <w:r>
              <w:t>4.</w:t>
            </w:r>
          </w:p>
          <w:p w14:paraId="2946DB82" w14:textId="77777777" w:rsidR="00061CB6" w:rsidRDefault="00061CB6"/>
          <w:p w14:paraId="5997CC1D" w14:textId="77777777" w:rsidR="00061CB6" w:rsidRDefault="00061CB6"/>
          <w:p w14:paraId="110FFD37" w14:textId="77777777" w:rsidR="00061CB6" w:rsidRDefault="00061CB6"/>
          <w:p w14:paraId="6B699379" w14:textId="77777777" w:rsidR="00061CB6" w:rsidRDefault="00061CB6"/>
          <w:p w14:paraId="3FE9F23F" w14:textId="77777777" w:rsidR="00061CB6" w:rsidRDefault="00061CB6"/>
          <w:p w14:paraId="1F72F646" w14:textId="77777777" w:rsidR="00061CB6" w:rsidRDefault="00061CB6"/>
          <w:p w14:paraId="08CE6F91" w14:textId="77777777" w:rsidR="00061CB6" w:rsidRDefault="00061CB6"/>
          <w:p w14:paraId="61CDCEAD" w14:textId="77777777" w:rsidR="00061CB6" w:rsidRDefault="00061CB6"/>
          <w:p w14:paraId="6BB9E253" w14:textId="77777777" w:rsidR="00061CB6" w:rsidRDefault="00061CB6"/>
          <w:p w14:paraId="23DE523C" w14:textId="77777777" w:rsidR="00061CB6" w:rsidRDefault="00061CB6"/>
          <w:p w14:paraId="52E56223" w14:textId="77777777" w:rsidR="00061CB6" w:rsidRDefault="00061CB6"/>
          <w:p w14:paraId="07547A01" w14:textId="77777777" w:rsidR="00061CB6" w:rsidRDefault="00061CB6"/>
          <w:p w14:paraId="5043CB0F" w14:textId="77777777" w:rsidR="00061CB6" w:rsidRDefault="00061CB6"/>
          <w:p w14:paraId="07459315" w14:textId="77777777" w:rsidR="00061CB6" w:rsidRDefault="00061CB6"/>
          <w:p w14:paraId="6537F28F" w14:textId="77777777" w:rsidR="00061CB6" w:rsidRDefault="00061CB6"/>
          <w:p w14:paraId="6DFB9E20" w14:textId="77777777" w:rsidR="00061CB6" w:rsidRDefault="00061CB6"/>
          <w:p w14:paraId="70DF9E56" w14:textId="77777777" w:rsidR="00061CB6" w:rsidRDefault="00061CB6"/>
        </w:tc>
        <w:tc>
          <w:tcPr>
            <w:tcW w:w="7754" w:type="dxa"/>
          </w:tcPr>
          <w:p w14:paraId="336778F3" w14:textId="77777777" w:rsidR="00794EF5" w:rsidRPr="009C713D" w:rsidRDefault="00794EF5" w:rsidP="00794EF5">
            <w:pPr>
              <w:shd w:val="clear" w:color="auto" w:fill="FFFFFF"/>
              <w:rPr>
                <w:rFonts w:ascii="Calibri" w:eastAsia="Times New Roman" w:hAnsi="Calibri" w:cs="Calibri"/>
                <w:b/>
                <w:color w:val="242424"/>
                <w:lang w:eastAsia="en-GB"/>
              </w:rPr>
            </w:pPr>
            <w:r w:rsidRPr="009C713D">
              <w:rPr>
                <w:rFonts w:ascii="Calibri" w:eastAsia="Times New Roman" w:hAnsi="Calibri" w:cs="Calibri"/>
                <w:b/>
                <w:color w:val="242424"/>
                <w:lang w:eastAsia="en-GB"/>
              </w:rPr>
              <w:t>Employability</w:t>
            </w:r>
          </w:p>
          <w:p w14:paraId="6E7BEAA2" w14:textId="77777777" w:rsidR="00316265" w:rsidRPr="006E12BD" w:rsidRDefault="00794EF5" w:rsidP="006E12BD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9C15AC">
              <w:rPr>
                <w:rFonts w:ascii="Calibri" w:eastAsia="Times New Roman" w:hAnsi="Calibri" w:cs="Calibri"/>
                <w:color w:val="242424"/>
                <w:lang w:eastAsia="en-GB"/>
              </w:rPr>
              <w:t> </w:t>
            </w:r>
          </w:p>
          <w:p w14:paraId="7B4F387D" w14:textId="2619D4AC" w:rsidR="00427465" w:rsidRDefault="0BED42A5">
            <w:r w:rsidRPr="582B258B">
              <w:rPr>
                <w:b/>
                <w:bCs/>
              </w:rPr>
              <w:t>Asked school members to discuss s</w:t>
            </w:r>
            <w:r w:rsidR="00427465" w:rsidRPr="582B258B">
              <w:rPr>
                <w:b/>
                <w:bCs/>
              </w:rPr>
              <w:t>afer recruitment</w:t>
            </w:r>
            <w:r w:rsidR="4559102C" w:rsidRPr="582B258B">
              <w:rPr>
                <w:b/>
                <w:bCs/>
              </w:rPr>
              <w:t xml:space="preserve"> practises such as checking s</w:t>
            </w:r>
            <w:r w:rsidR="00427465" w:rsidRPr="582B258B">
              <w:rPr>
                <w:b/>
                <w:bCs/>
              </w:rPr>
              <w:t>ocial media presence</w:t>
            </w:r>
            <w:r w:rsidR="17350965" w:rsidRPr="582B258B">
              <w:rPr>
                <w:b/>
                <w:bCs/>
              </w:rPr>
              <w:t xml:space="preserve">. Advise to be provided to </w:t>
            </w:r>
            <w:r w:rsidR="51B77A63" w:rsidRPr="582B258B">
              <w:rPr>
                <w:b/>
                <w:bCs/>
              </w:rPr>
              <w:t>trainees</w:t>
            </w:r>
            <w:r w:rsidR="00427465">
              <w:t xml:space="preserve">: </w:t>
            </w:r>
          </w:p>
          <w:p w14:paraId="44E871BC" w14:textId="28322685" w:rsidR="004977A7" w:rsidRDefault="1ADE39CE" w:rsidP="1C7AD5C2">
            <w:pPr>
              <w:pStyle w:val="ListParagraph"/>
              <w:numPr>
                <w:ilvl w:val="0"/>
                <w:numId w:val="19"/>
              </w:numPr>
            </w:pPr>
            <w:r>
              <w:t>Schools confirmed that responsible</w:t>
            </w:r>
            <w:r w:rsidR="00A232CB">
              <w:t xml:space="preserve"> </w:t>
            </w:r>
            <w:r w:rsidR="00316265">
              <w:t xml:space="preserve">social media </w:t>
            </w:r>
            <w:r w:rsidR="00427465">
              <w:t>presence</w:t>
            </w:r>
            <w:r w:rsidR="00DB3BC9">
              <w:t xml:space="preserve"> i</w:t>
            </w:r>
            <w:r w:rsidR="00A232CB">
              <w:t>s a crucial</w:t>
            </w:r>
            <w:r w:rsidR="00DB3BC9">
              <w:t xml:space="preserve"> element</w:t>
            </w:r>
            <w:r w:rsidR="00A232CB">
              <w:t xml:space="preserve"> of trust and confidence within the community</w:t>
            </w:r>
            <w:r w:rsidR="00427465">
              <w:t xml:space="preserve"> </w:t>
            </w:r>
          </w:p>
          <w:p w14:paraId="62924DA2" w14:textId="77777777" w:rsidR="00A232CB" w:rsidRDefault="00427465" w:rsidP="003F1A8A">
            <w:pPr>
              <w:pStyle w:val="ListParagraph"/>
              <w:numPr>
                <w:ilvl w:val="0"/>
                <w:numId w:val="19"/>
              </w:numPr>
            </w:pPr>
            <w:r>
              <w:t>Social Media history does influence recruitme</w:t>
            </w:r>
            <w:r w:rsidR="00DC1D5C">
              <w:t>nt decisions and it is vital</w:t>
            </w:r>
            <w:r>
              <w:t xml:space="preserve"> that trainees realise</w:t>
            </w:r>
            <w:r w:rsidR="00DC1D5C">
              <w:t xml:space="preserve"> that their social media legacy</w:t>
            </w:r>
            <w:r>
              <w:t xml:space="preserve"> will be checked.  Some schools use professional ‘diggers’ to delve into histories.</w:t>
            </w:r>
          </w:p>
          <w:p w14:paraId="3E0E4CD4" w14:textId="77777777" w:rsidR="003F1A8A" w:rsidRDefault="004977A7" w:rsidP="001B16C1">
            <w:pPr>
              <w:pStyle w:val="ListParagraph"/>
              <w:numPr>
                <w:ilvl w:val="0"/>
                <w:numId w:val="19"/>
              </w:numPr>
            </w:pPr>
            <w:r>
              <w:t>Trainees need to be aware that there is a d</w:t>
            </w:r>
            <w:r w:rsidR="00427465">
              <w:t xml:space="preserve">ifference between </w:t>
            </w:r>
            <w:r>
              <w:t xml:space="preserve">the </w:t>
            </w:r>
            <w:r w:rsidR="00427465">
              <w:t xml:space="preserve">right to </w:t>
            </w:r>
            <w:r>
              <w:t>free self-</w:t>
            </w:r>
            <w:r w:rsidR="00427465">
              <w:t>express</w:t>
            </w:r>
            <w:r>
              <w:t>ion</w:t>
            </w:r>
            <w:r w:rsidR="00427465">
              <w:t xml:space="preserve"> and </w:t>
            </w:r>
            <w:r>
              <w:t xml:space="preserve">their </w:t>
            </w:r>
            <w:r w:rsidR="00427465">
              <w:t>professional identity and relationship with</w:t>
            </w:r>
            <w:r>
              <w:t>in the learning</w:t>
            </w:r>
            <w:r w:rsidR="00427465">
              <w:t xml:space="preserve"> community.</w:t>
            </w:r>
            <w:r w:rsidR="00FF4C94">
              <w:t xml:space="preserve"> The Teachers’ Standards are guidance.</w:t>
            </w:r>
          </w:p>
          <w:p w14:paraId="04E6A3E4" w14:textId="2EB900D1" w:rsidR="003F1A8A" w:rsidRDefault="24FC65F0" w:rsidP="003F1A8A">
            <w:pPr>
              <w:pStyle w:val="ListParagraph"/>
              <w:numPr>
                <w:ilvl w:val="0"/>
                <w:numId w:val="18"/>
              </w:numPr>
              <w:spacing w:line="256" w:lineRule="auto"/>
            </w:pPr>
            <w:r>
              <w:t xml:space="preserve">One school </w:t>
            </w:r>
            <w:r w:rsidR="29E49A6F">
              <w:t xml:space="preserve">that uses </w:t>
            </w:r>
            <w:proofErr w:type="spellStart"/>
            <w:r w:rsidR="003F1A8A">
              <w:t>Steplab</w:t>
            </w:r>
            <w:proofErr w:type="spellEnd"/>
            <w:r w:rsidR="003F1A8A">
              <w:t xml:space="preserve"> </w:t>
            </w:r>
            <w:r w:rsidR="0CE1B30D">
              <w:t xml:space="preserve">conducts a </w:t>
            </w:r>
            <w:r w:rsidR="003F1A8A">
              <w:t>joint lesson obs</w:t>
            </w:r>
            <w:r w:rsidR="001B16C1">
              <w:t>ervation</w:t>
            </w:r>
            <w:r w:rsidR="003F1A8A">
              <w:t xml:space="preserve"> and joint feedback so they can establish whether the applicant is coachable</w:t>
            </w:r>
            <w:r w:rsidR="1F4883B4">
              <w:t>.</w:t>
            </w:r>
          </w:p>
          <w:p w14:paraId="1DCFC640" w14:textId="3DDEEF81" w:rsidR="003F1A8A" w:rsidRDefault="64E7D5AC" w:rsidP="003F1A8A">
            <w:pPr>
              <w:pStyle w:val="ListParagraph"/>
              <w:numPr>
                <w:ilvl w:val="0"/>
                <w:numId w:val="18"/>
              </w:numPr>
              <w:spacing w:line="256" w:lineRule="auto"/>
            </w:pPr>
            <w:r>
              <w:t xml:space="preserve">Interviews might ask trainees to </w:t>
            </w:r>
            <w:r w:rsidR="003F1A8A">
              <w:t xml:space="preserve">do more things on the day rather than get the trainee to pre-plan </w:t>
            </w:r>
            <w:r w:rsidR="652168B0">
              <w:t xml:space="preserve">e.g. </w:t>
            </w:r>
            <w:r w:rsidR="003F1A8A">
              <w:t xml:space="preserve">here is a subject – write a </w:t>
            </w:r>
            <w:r w:rsidR="278E427C">
              <w:t xml:space="preserve">lesson </w:t>
            </w:r>
            <w:r w:rsidR="003F1A8A">
              <w:t xml:space="preserve">plan and deliver it </w:t>
            </w:r>
            <w:r w:rsidR="158007AE">
              <w:t xml:space="preserve">within an </w:t>
            </w:r>
            <w:r w:rsidR="003F1A8A">
              <w:t>hour. This prevents AI issues</w:t>
            </w:r>
            <w:r w:rsidR="24FA2BBB">
              <w:t xml:space="preserve"> and is realistic of teaching. </w:t>
            </w:r>
          </w:p>
          <w:p w14:paraId="144A5D23" w14:textId="77777777" w:rsidR="00DB3BC9" w:rsidRDefault="00DB3BC9"/>
          <w:p w14:paraId="54982715" w14:textId="77777777" w:rsidR="00457764" w:rsidRDefault="00457764" w:rsidP="582B258B">
            <w:pPr>
              <w:rPr>
                <w:b/>
                <w:bCs/>
              </w:rPr>
            </w:pPr>
          </w:p>
          <w:p w14:paraId="296EAABE" w14:textId="77777777" w:rsidR="00457764" w:rsidRDefault="00457764" w:rsidP="582B258B">
            <w:pPr>
              <w:rPr>
                <w:b/>
                <w:bCs/>
              </w:rPr>
            </w:pPr>
          </w:p>
          <w:p w14:paraId="2855A6EA" w14:textId="77777777" w:rsidR="00457764" w:rsidRDefault="00457764" w:rsidP="582B258B">
            <w:pPr>
              <w:rPr>
                <w:b/>
                <w:bCs/>
              </w:rPr>
            </w:pPr>
          </w:p>
          <w:p w14:paraId="440C6D06" w14:textId="1598F758" w:rsidR="00036553" w:rsidRPr="00143A06" w:rsidRDefault="00DB3BC9" w:rsidP="582B258B">
            <w:pPr>
              <w:rPr>
                <w:b/>
                <w:bCs/>
              </w:rPr>
            </w:pPr>
            <w:bookmarkStart w:id="0" w:name="_GoBack"/>
            <w:bookmarkEnd w:id="0"/>
            <w:r w:rsidRPr="582B258B">
              <w:rPr>
                <w:b/>
                <w:bCs/>
              </w:rPr>
              <w:lastRenderedPageBreak/>
              <w:t>Adjustments and Recruitment</w:t>
            </w:r>
            <w:r w:rsidR="06199536" w:rsidRPr="582B258B">
              <w:rPr>
                <w:b/>
                <w:bCs/>
              </w:rPr>
              <w:t xml:space="preserve"> – advise for trainees from school members</w:t>
            </w:r>
          </w:p>
          <w:p w14:paraId="1F7AFBE2" w14:textId="7F08CC0B" w:rsidR="00996BD5" w:rsidRDefault="06199536" w:rsidP="001B16C1">
            <w:pPr>
              <w:pStyle w:val="ListParagraph"/>
              <w:numPr>
                <w:ilvl w:val="0"/>
                <w:numId w:val="20"/>
              </w:numPr>
            </w:pPr>
            <w:r>
              <w:t xml:space="preserve">Encouraged trainees to </w:t>
            </w:r>
            <w:r w:rsidR="00036553">
              <w:t>ask for adjustment</w:t>
            </w:r>
            <w:r w:rsidR="3E57E403">
              <w:t>s as it’s a good measure of how supportive a school would be once they work there</w:t>
            </w:r>
            <w:r w:rsidR="7AE3CE8B">
              <w:t>.</w:t>
            </w:r>
          </w:p>
          <w:p w14:paraId="637805D2" w14:textId="54DE7EE4" w:rsidR="00036553" w:rsidRDefault="00036553" w:rsidP="0FF8E3E5"/>
        </w:tc>
        <w:tc>
          <w:tcPr>
            <w:tcW w:w="1559" w:type="dxa"/>
          </w:tcPr>
          <w:p w14:paraId="547F9C9C" w14:textId="3802921B" w:rsidR="00794EF5" w:rsidRPr="004977A7" w:rsidRDefault="004977A7" w:rsidP="582B258B">
            <w:pPr>
              <w:rPr>
                <w:b/>
                <w:bCs/>
              </w:rPr>
            </w:pPr>
            <w:r w:rsidRPr="582B258B">
              <w:rPr>
                <w:b/>
                <w:bCs/>
              </w:rPr>
              <w:lastRenderedPageBreak/>
              <w:t xml:space="preserve">Action: </w:t>
            </w:r>
          </w:p>
          <w:p w14:paraId="7DB73822" w14:textId="418C2891" w:rsidR="004977A7" w:rsidRDefault="004977A7" w:rsidP="582B258B">
            <w:pPr>
              <w:rPr>
                <w:b/>
                <w:bCs/>
              </w:rPr>
            </w:pPr>
          </w:p>
          <w:p w14:paraId="2913E2AF" w14:textId="43FE9BB1" w:rsidR="004977A7" w:rsidRDefault="2410ED00" w:rsidP="582B258B">
            <w:r>
              <w:t>Add advi</w:t>
            </w:r>
            <w:r w:rsidR="03C8C51D">
              <w:t>c</w:t>
            </w:r>
            <w:r>
              <w:t>e to employability newsletter and review employability input.</w:t>
            </w:r>
          </w:p>
          <w:p w14:paraId="2A0A8EED" w14:textId="6B43AF95" w:rsidR="004977A7" w:rsidRDefault="2410ED00" w:rsidP="582B258B">
            <w:r>
              <w:t xml:space="preserve">Schools could deliver </w:t>
            </w:r>
            <w:r w:rsidR="22922BE1">
              <w:t>s</w:t>
            </w:r>
            <w:r w:rsidR="004977A7">
              <w:t>es</w:t>
            </w:r>
            <w:r w:rsidR="22922BE1">
              <w:t>sion</w:t>
            </w:r>
            <w:r w:rsidR="004977A7">
              <w:t xml:space="preserve"> on social media legacies</w:t>
            </w:r>
            <w:r w:rsidR="68983673">
              <w:t>/ recruitment practices.</w:t>
            </w:r>
            <w:r w:rsidR="7BC043F0">
              <w:t xml:space="preserve"> </w:t>
            </w:r>
          </w:p>
        </w:tc>
      </w:tr>
      <w:tr w:rsidR="00794EF5" w14:paraId="680DB617" w14:textId="77777777" w:rsidTr="0FF8E3E5">
        <w:tc>
          <w:tcPr>
            <w:tcW w:w="893" w:type="dxa"/>
          </w:tcPr>
          <w:p w14:paraId="3B7B4B86" w14:textId="77777777" w:rsidR="00794EF5" w:rsidRDefault="00794EF5"/>
        </w:tc>
        <w:tc>
          <w:tcPr>
            <w:tcW w:w="7754" w:type="dxa"/>
          </w:tcPr>
          <w:p w14:paraId="3851C157" w14:textId="77777777" w:rsidR="00794EF5" w:rsidRPr="00A5709F" w:rsidRDefault="00A5709F">
            <w:pPr>
              <w:rPr>
                <w:b/>
              </w:rPr>
            </w:pPr>
            <w:r w:rsidRPr="00A5709F">
              <w:rPr>
                <w:b/>
              </w:rPr>
              <w:t>Date of Next meeting</w:t>
            </w:r>
          </w:p>
          <w:p w14:paraId="75A06EE2" w14:textId="252BA1B5" w:rsidR="00A5709F" w:rsidRDefault="00A5709F">
            <w:r>
              <w:t xml:space="preserve">The dates of the next SIPG meeting will be </w:t>
            </w:r>
            <w:r w:rsidR="02DF2D77">
              <w:t>in the spring term 2025 and invites will be circulated</w:t>
            </w:r>
            <w:r>
              <w:t>.</w:t>
            </w:r>
          </w:p>
          <w:p w14:paraId="3A0FF5F2" w14:textId="77777777" w:rsidR="000F77B9" w:rsidRDefault="000F77B9"/>
        </w:tc>
        <w:tc>
          <w:tcPr>
            <w:tcW w:w="1559" w:type="dxa"/>
          </w:tcPr>
          <w:p w14:paraId="5630AD66" w14:textId="77777777" w:rsidR="00794EF5" w:rsidRDefault="00794EF5"/>
        </w:tc>
      </w:tr>
    </w:tbl>
    <w:p w14:paraId="61829076" w14:textId="77777777" w:rsidR="009C15AC" w:rsidRDefault="009C15AC"/>
    <w:sectPr w:rsidR="009C15AC" w:rsidSect="00CB471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605"/>
    <w:multiLevelType w:val="hybridMultilevel"/>
    <w:tmpl w:val="6FBE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65B6"/>
    <w:multiLevelType w:val="hybridMultilevel"/>
    <w:tmpl w:val="71EC0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92169"/>
    <w:multiLevelType w:val="hybridMultilevel"/>
    <w:tmpl w:val="D388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8F0"/>
    <w:multiLevelType w:val="hybridMultilevel"/>
    <w:tmpl w:val="59A8D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A71"/>
    <w:multiLevelType w:val="hybridMultilevel"/>
    <w:tmpl w:val="AAA6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726B"/>
    <w:multiLevelType w:val="hybridMultilevel"/>
    <w:tmpl w:val="2D8A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5B21"/>
    <w:multiLevelType w:val="hybridMultilevel"/>
    <w:tmpl w:val="0F6E6056"/>
    <w:lvl w:ilvl="0" w:tplc="229C2EC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8EA6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47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C8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00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83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80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AD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5259"/>
    <w:multiLevelType w:val="hybridMultilevel"/>
    <w:tmpl w:val="C274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0EA6"/>
    <w:multiLevelType w:val="hybridMultilevel"/>
    <w:tmpl w:val="69A6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6D66"/>
    <w:multiLevelType w:val="hybridMultilevel"/>
    <w:tmpl w:val="8554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4FF6"/>
    <w:multiLevelType w:val="hybridMultilevel"/>
    <w:tmpl w:val="8FE4B76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E543C98"/>
    <w:multiLevelType w:val="hybridMultilevel"/>
    <w:tmpl w:val="CFAA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6EA1"/>
    <w:multiLevelType w:val="hybridMultilevel"/>
    <w:tmpl w:val="C4EA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676DC"/>
    <w:multiLevelType w:val="multilevel"/>
    <w:tmpl w:val="54DA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463CAB"/>
    <w:multiLevelType w:val="hybridMultilevel"/>
    <w:tmpl w:val="D98E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66152"/>
    <w:multiLevelType w:val="hybridMultilevel"/>
    <w:tmpl w:val="1EEA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440FE"/>
    <w:multiLevelType w:val="hybridMultilevel"/>
    <w:tmpl w:val="155C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064B"/>
    <w:multiLevelType w:val="hybridMultilevel"/>
    <w:tmpl w:val="D90A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75EC2"/>
    <w:multiLevelType w:val="hybridMultilevel"/>
    <w:tmpl w:val="9E86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2"/>
  </w:num>
  <w:num w:numId="5">
    <w:abstractNumId w:val="7"/>
  </w:num>
  <w:num w:numId="6">
    <w:abstractNumId w:val="12"/>
  </w:num>
  <w:num w:numId="7">
    <w:abstractNumId w:val="16"/>
  </w:num>
  <w:num w:numId="8">
    <w:abstractNumId w:val="18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  <w:num w:numId="15">
    <w:abstractNumId w:val="0"/>
  </w:num>
  <w:num w:numId="16">
    <w:abstractNumId w:val="17"/>
  </w:num>
  <w:num w:numId="17">
    <w:abstractNumId w:val="15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AC"/>
    <w:rsid w:val="000064AB"/>
    <w:rsid w:val="000178ED"/>
    <w:rsid w:val="00036553"/>
    <w:rsid w:val="00061CB6"/>
    <w:rsid w:val="00077BD9"/>
    <w:rsid w:val="000864F3"/>
    <w:rsid w:val="000866C4"/>
    <w:rsid w:val="000B321F"/>
    <w:rsid w:val="000B4EA1"/>
    <w:rsid w:val="000F77B9"/>
    <w:rsid w:val="000F7C39"/>
    <w:rsid w:val="0011192D"/>
    <w:rsid w:val="00116E4E"/>
    <w:rsid w:val="00143A06"/>
    <w:rsid w:val="001A1618"/>
    <w:rsid w:val="001B16C1"/>
    <w:rsid w:val="001B62FF"/>
    <w:rsid w:val="001C0F22"/>
    <w:rsid w:val="001D2507"/>
    <w:rsid w:val="001E184A"/>
    <w:rsid w:val="001E47F9"/>
    <w:rsid w:val="001F2C4B"/>
    <w:rsid w:val="00221C1D"/>
    <w:rsid w:val="00235636"/>
    <w:rsid w:val="00286E89"/>
    <w:rsid w:val="002A6661"/>
    <w:rsid w:val="002D724A"/>
    <w:rsid w:val="0030302A"/>
    <w:rsid w:val="00316265"/>
    <w:rsid w:val="003320DC"/>
    <w:rsid w:val="00355E22"/>
    <w:rsid w:val="00370BBC"/>
    <w:rsid w:val="0038134D"/>
    <w:rsid w:val="0038162C"/>
    <w:rsid w:val="003A0B5C"/>
    <w:rsid w:val="003E21B4"/>
    <w:rsid w:val="003F1A8A"/>
    <w:rsid w:val="00406E9E"/>
    <w:rsid w:val="004144D6"/>
    <w:rsid w:val="0041752C"/>
    <w:rsid w:val="00427465"/>
    <w:rsid w:val="00433E18"/>
    <w:rsid w:val="00453498"/>
    <w:rsid w:val="00457764"/>
    <w:rsid w:val="00486FC8"/>
    <w:rsid w:val="004977A7"/>
    <w:rsid w:val="004B42FB"/>
    <w:rsid w:val="004B5DA3"/>
    <w:rsid w:val="004C72D1"/>
    <w:rsid w:val="004E63C1"/>
    <w:rsid w:val="00500838"/>
    <w:rsid w:val="005129C0"/>
    <w:rsid w:val="00526CDC"/>
    <w:rsid w:val="00526F9B"/>
    <w:rsid w:val="00537B65"/>
    <w:rsid w:val="005A6CD9"/>
    <w:rsid w:val="005B457F"/>
    <w:rsid w:val="005C376D"/>
    <w:rsid w:val="005D31DD"/>
    <w:rsid w:val="005E3CFB"/>
    <w:rsid w:val="005E65DC"/>
    <w:rsid w:val="005F0971"/>
    <w:rsid w:val="00612716"/>
    <w:rsid w:val="00633B40"/>
    <w:rsid w:val="00644200"/>
    <w:rsid w:val="00650FA5"/>
    <w:rsid w:val="006B71B1"/>
    <w:rsid w:val="006E12BD"/>
    <w:rsid w:val="00720825"/>
    <w:rsid w:val="0072162E"/>
    <w:rsid w:val="007245F9"/>
    <w:rsid w:val="0073170C"/>
    <w:rsid w:val="00736979"/>
    <w:rsid w:val="00737BD9"/>
    <w:rsid w:val="00770F11"/>
    <w:rsid w:val="00794EF5"/>
    <w:rsid w:val="007E0375"/>
    <w:rsid w:val="007E79B3"/>
    <w:rsid w:val="00804FD0"/>
    <w:rsid w:val="00822D3A"/>
    <w:rsid w:val="00831060"/>
    <w:rsid w:val="008C5390"/>
    <w:rsid w:val="008C60D7"/>
    <w:rsid w:val="008F0339"/>
    <w:rsid w:val="00921D0F"/>
    <w:rsid w:val="00995203"/>
    <w:rsid w:val="00996BD5"/>
    <w:rsid w:val="009C15AC"/>
    <w:rsid w:val="009C713D"/>
    <w:rsid w:val="009F759B"/>
    <w:rsid w:val="00A00A6F"/>
    <w:rsid w:val="00A232CB"/>
    <w:rsid w:val="00A26351"/>
    <w:rsid w:val="00A40F63"/>
    <w:rsid w:val="00A43768"/>
    <w:rsid w:val="00A4547E"/>
    <w:rsid w:val="00A5709F"/>
    <w:rsid w:val="00A65909"/>
    <w:rsid w:val="00A6622C"/>
    <w:rsid w:val="00A747A6"/>
    <w:rsid w:val="00A74A5B"/>
    <w:rsid w:val="00AE3968"/>
    <w:rsid w:val="00B43A3B"/>
    <w:rsid w:val="00B950BA"/>
    <w:rsid w:val="00BC1636"/>
    <w:rsid w:val="00BC62B1"/>
    <w:rsid w:val="00BF4FCD"/>
    <w:rsid w:val="00C73BFB"/>
    <w:rsid w:val="00C934E1"/>
    <w:rsid w:val="00C9471C"/>
    <w:rsid w:val="00CB16DF"/>
    <w:rsid w:val="00CB4715"/>
    <w:rsid w:val="00CD4B77"/>
    <w:rsid w:val="00D01DDA"/>
    <w:rsid w:val="00D3256A"/>
    <w:rsid w:val="00D45DC1"/>
    <w:rsid w:val="00D84368"/>
    <w:rsid w:val="00DA4584"/>
    <w:rsid w:val="00DA742A"/>
    <w:rsid w:val="00DB00B2"/>
    <w:rsid w:val="00DB3BC9"/>
    <w:rsid w:val="00DC1D5C"/>
    <w:rsid w:val="00DE2758"/>
    <w:rsid w:val="00DE6889"/>
    <w:rsid w:val="00DF0BA9"/>
    <w:rsid w:val="00E068EA"/>
    <w:rsid w:val="00E3305E"/>
    <w:rsid w:val="00E426E0"/>
    <w:rsid w:val="00E71740"/>
    <w:rsid w:val="00E95554"/>
    <w:rsid w:val="00EA78A0"/>
    <w:rsid w:val="00EA9F73"/>
    <w:rsid w:val="00EB7267"/>
    <w:rsid w:val="00EF1996"/>
    <w:rsid w:val="00F18779"/>
    <w:rsid w:val="00F34F0C"/>
    <w:rsid w:val="00F4646C"/>
    <w:rsid w:val="00F64900"/>
    <w:rsid w:val="00FF4C94"/>
    <w:rsid w:val="01925C87"/>
    <w:rsid w:val="01BB9EB3"/>
    <w:rsid w:val="021653C6"/>
    <w:rsid w:val="024E38DB"/>
    <w:rsid w:val="0270A3E8"/>
    <w:rsid w:val="027CC346"/>
    <w:rsid w:val="02AEF800"/>
    <w:rsid w:val="02DF2D77"/>
    <w:rsid w:val="0383FDAB"/>
    <w:rsid w:val="03C8C51D"/>
    <w:rsid w:val="04426A9E"/>
    <w:rsid w:val="0445572F"/>
    <w:rsid w:val="044D4FF0"/>
    <w:rsid w:val="0522865E"/>
    <w:rsid w:val="05291B89"/>
    <w:rsid w:val="055C9E3E"/>
    <w:rsid w:val="058859C4"/>
    <w:rsid w:val="05CE9903"/>
    <w:rsid w:val="06199536"/>
    <w:rsid w:val="067D697D"/>
    <w:rsid w:val="06876134"/>
    <w:rsid w:val="06B980B2"/>
    <w:rsid w:val="06BFB5FE"/>
    <w:rsid w:val="06FFD632"/>
    <w:rsid w:val="0767A374"/>
    <w:rsid w:val="077A0B60"/>
    <w:rsid w:val="07863F1E"/>
    <w:rsid w:val="0799F6DA"/>
    <w:rsid w:val="07AD8A68"/>
    <w:rsid w:val="07CF2F27"/>
    <w:rsid w:val="07DEDC57"/>
    <w:rsid w:val="085B32F3"/>
    <w:rsid w:val="090DAD31"/>
    <w:rsid w:val="09426DF2"/>
    <w:rsid w:val="098E090A"/>
    <w:rsid w:val="09B4FE85"/>
    <w:rsid w:val="09BE2BD8"/>
    <w:rsid w:val="09D4C7CB"/>
    <w:rsid w:val="09DB5DAC"/>
    <w:rsid w:val="09F75BAC"/>
    <w:rsid w:val="0A441EB8"/>
    <w:rsid w:val="0A6DE967"/>
    <w:rsid w:val="0AFEE13F"/>
    <w:rsid w:val="0B6D315A"/>
    <w:rsid w:val="0B7BD45B"/>
    <w:rsid w:val="0BED42A5"/>
    <w:rsid w:val="0C3F7F1F"/>
    <w:rsid w:val="0C4D7C83"/>
    <w:rsid w:val="0C53104B"/>
    <w:rsid w:val="0CE1B30D"/>
    <w:rsid w:val="0CF03FC0"/>
    <w:rsid w:val="0CF2CEB9"/>
    <w:rsid w:val="0D808358"/>
    <w:rsid w:val="0D88D060"/>
    <w:rsid w:val="0D8DCD9D"/>
    <w:rsid w:val="0DD7E013"/>
    <w:rsid w:val="0DE94CE4"/>
    <w:rsid w:val="0E0EAE8F"/>
    <w:rsid w:val="0E2BBA6E"/>
    <w:rsid w:val="0ED02B91"/>
    <w:rsid w:val="0EDB4E19"/>
    <w:rsid w:val="0F0F51B1"/>
    <w:rsid w:val="0F1B53C3"/>
    <w:rsid w:val="0FF8E3E5"/>
    <w:rsid w:val="10360005"/>
    <w:rsid w:val="107A0030"/>
    <w:rsid w:val="10874919"/>
    <w:rsid w:val="11134F8D"/>
    <w:rsid w:val="116113BC"/>
    <w:rsid w:val="11638E90"/>
    <w:rsid w:val="1299BC2D"/>
    <w:rsid w:val="12DA67B3"/>
    <w:rsid w:val="1314DE2D"/>
    <w:rsid w:val="13408235"/>
    <w:rsid w:val="1388B2C0"/>
    <w:rsid w:val="13893305"/>
    <w:rsid w:val="13D895B8"/>
    <w:rsid w:val="13F46401"/>
    <w:rsid w:val="141513A0"/>
    <w:rsid w:val="1472AC02"/>
    <w:rsid w:val="15097128"/>
    <w:rsid w:val="158007AE"/>
    <w:rsid w:val="168EF729"/>
    <w:rsid w:val="16F98F64"/>
    <w:rsid w:val="17350965"/>
    <w:rsid w:val="17902F2A"/>
    <w:rsid w:val="17D29CB4"/>
    <w:rsid w:val="183BF7A7"/>
    <w:rsid w:val="184FD74F"/>
    <w:rsid w:val="18C5D057"/>
    <w:rsid w:val="18CF1473"/>
    <w:rsid w:val="19800642"/>
    <w:rsid w:val="1982A4EF"/>
    <w:rsid w:val="19C583D1"/>
    <w:rsid w:val="1A07812A"/>
    <w:rsid w:val="1AA413A1"/>
    <w:rsid w:val="1AC5ABBA"/>
    <w:rsid w:val="1ADE39CE"/>
    <w:rsid w:val="1B0A8532"/>
    <w:rsid w:val="1BC75C58"/>
    <w:rsid w:val="1C5BDDC4"/>
    <w:rsid w:val="1C7AD5C2"/>
    <w:rsid w:val="1CF21930"/>
    <w:rsid w:val="1D403A34"/>
    <w:rsid w:val="1D630F92"/>
    <w:rsid w:val="1D787828"/>
    <w:rsid w:val="1DAE096F"/>
    <w:rsid w:val="1DBDB5A7"/>
    <w:rsid w:val="1E20977E"/>
    <w:rsid w:val="1E4C0686"/>
    <w:rsid w:val="1E6894D3"/>
    <w:rsid w:val="1E871317"/>
    <w:rsid w:val="1EAB3231"/>
    <w:rsid w:val="1EB0536E"/>
    <w:rsid w:val="1EF2B971"/>
    <w:rsid w:val="1F31E437"/>
    <w:rsid w:val="1F3C2AC1"/>
    <w:rsid w:val="1F4883B4"/>
    <w:rsid w:val="1F86795C"/>
    <w:rsid w:val="1F9B7962"/>
    <w:rsid w:val="1FCF7138"/>
    <w:rsid w:val="215EEA70"/>
    <w:rsid w:val="219093BD"/>
    <w:rsid w:val="21F82021"/>
    <w:rsid w:val="21FAB987"/>
    <w:rsid w:val="22922BE1"/>
    <w:rsid w:val="2327C23B"/>
    <w:rsid w:val="238BB217"/>
    <w:rsid w:val="23A8D9A0"/>
    <w:rsid w:val="23F1B0B0"/>
    <w:rsid w:val="2410ED00"/>
    <w:rsid w:val="243A5052"/>
    <w:rsid w:val="24FA2BBB"/>
    <w:rsid w:val="24FC65F0"/>
    <w:rsid w:val="254FDEDE"/>
    <w:rsid w:val="2595EA23"/>
    <w:rsid w:val="25FA2F88"/>
    <w:rsid w:val="260AB564"/>
    <w:rsid w:val="26C352D9"/>
    <w:rsid w:val="278E427C"/>
    <w:rsid w:val="27AE407A"/>
    <w:rsid w:val="28D22D8F"/>
    <w:rsid w:val="294A10DB"/>
    <w:rsid w:val="294CA838"/>
    <w:rsid w:val="29B2F469"/>
    <w:rsid w:val="29E49A6F"/>
    <w:rsid w:val="2B1EF07F"/>
    <w:rsid w:val="2BE7FF5C"/>
    <w:rsid w:val="2CEA952B"/>
    <w:rsid w:val="2D1230C2"/>
    <w:rsid w:val="2D363EA3"/>
    <w:rsid w:val="2D65C8BD"/>
    <w:rsid w:val="2D9FF3A7"/>
    <w:rsid w:val="2DE737B0"/>
    <w:rsid w:val="2E83C59F"/>
    <w:rsid w:val="2EC7E64F"/>
    <w:rsid w:val="2F0EA581"/>
    <w:rsid w:val="2F329C98"/>
    <w:rsid w:val="2F35862E"/>
    <w:rsid w:val="2F7A0313"/>
    <w:rsid w:val="2FA111CE"/>
    <w:rsid w:val="2FE189CB"/>
    <w:rsid w:val="301A147B"/>
    <w:rsid w:val="30400CE8"/>
    <w:rsid w:val="30994B32"/>
    <w:rsid w:val="30CCA86F"/>
    <w:rsid w:val="30E2E77A"/>
    <w:rsid w:val="3108776D"/>
    <w:rsid w:val="313CE22F"/>
    <w:rsid w:val="31EBBBCB"/>
    <w:rsid w:val="31FA318D"/>
    <w:rsid w:val="32186651"/>
    <w:rsid w:val="3296CE52"/>
    <w:rsid w:val="32D8B290"/>
    <w:rsid w:val="32FEA6AA"/>
    <w:rsid w:val="33842290"/>
    <w:rsid w:val="33B71A0A"/>
    <w:rsid w:val="33C3A682"/>
    <w:rsid w:val="33C99BF2"/>
    <w:rsid w:val="3402C691"/>
    <w:rsid w:val="342D48CD"/>
    <w:rsid w:val="3447B16E"/>
    <w:rsid w:val="34827A23"/>
    <w:rsid w:val="34FC0D66"/>
    <w:rsid w:val="3508127E"/>
    <w:rsid w:val="350B8027"/>
    <w:rsid w:val="354A08E5"/>
    <w:rsid w:val="355711FF"/>
    <w:rsid w:val="35766D95"/>
    <w:rsid w:val="358076B8"/>
    <w:rsid w:val="35835D31"/>
    <w:rsid w:val="36105352"/>
    <w:rsid w:val="361963A3"/>
    <w:rsid w:val="36199750"/>
    <w:rsid w:val="36409D3E"/>
    <w:rsid w:val="3661A1A3"/>
    <w:rsid w:val="3678A308"/>
    <w:rsid w:val="369AC1EC"/>
    <w:rsid w:val="36A141BA"/>
    <w:rsid w:val="36BC1D29"/>
    <w:rsid w:val="36BC2D8B"/>
    <w:rsid w:val="37173AC2"/>
    <w:rsid w:val="375ED95E"/>
    <w:rsid w:val="3774CA07"/>
    <w:rsid w:val="37DC6D9F"/>
    <w:rsid w:val="381A0D28"/>
    <w:rsid w:val="38745FA9"/>
    <w:rsid w:val="389EFEDA"/>
    <w:rsid w:val="38FD64B6"/>
    <w:rsid w:val="39735DBE"/>
    <w:rsid w:val="3A21A6DE"/>
    <w:rsid w:val="3A573E43"/>
    <w:rsid w:val="3B140E61"/>
    <w:rsid w:val="3BBD773F"/>
    <w:rsid w:val="3BE2C968"/>
    <w:rsid w:val="3BF68B16"/>
    <w:rsid w:val="3C09A7B7"/>
    <w:rsid w:val="3C67165F"/>
    <w:rsid w:val="3CE35317"/>
    <w:rsid w:val="3CFAC646"/>
    <w:rsid w:val="3D726FFD"/>
    <w:rsid w:val="3D7DD126"/>
    <w:rsid w:val="3DEE6597"/>
    <w:rsid w:val="3E0B4856"/>
    <w:rsid w:val="3E0D190D"/>
    <w:rsid w:val="3E57E403"/>
    <w:rsid w:val="3ECBE950"/>
    <w:rsid w:val="3EE93D5F"/>
    <w:rsid w:val="3F58BF98"/>
    <w:rsid w:val="3F7723EC"/>
    <w:rsid w:val="3FD647B9"/>
    <w:rsid w:val="3FDA0353"/>
    <w:rsid w:val="3FE77F84"/>
    <w:rsid w:val="403406C3"/>
    <w:rsid w:val="40A2560A"/>
    <w:rsid w:val="40E1CE97"/>
    <w:rsid w:val="415AF37F"/>
    <w:rsid w:val="4175D3B4"/>
    <w:rsid w:val="41834FE5"/>
    <w:rsid w:val="41B732C9"/>
    <w:rsid w:val="41BDBF2C"/>
    <w:rsid w:val="422CB8C3"/>
    <w:rsid w:val="42AC19E4"/>
    <w:rsid w:val="4311A415"/>
    <w:rsid w:val="435AB8FB"/>
    <w:rsid w:val="43E1B181"/>
    <w:rsid w:val="43EC69A2"/>
    <w:rsid w:val="44F8867C"/>
    <w:rsid w:val="45272F0E"/>
    <w:rsid w:val="452AA970"/>
    <w:rsid w:val="452B6859"/>
    <w:rsid w:val="4559102C"/>
    <w:rsid w:val="4575C72D"/>
    <w:rsid w:val="47097D76"/>
    <w:rsid w:val="47195243"/>
    <w:rsid w:val="471C23AB"/>
    <w:rsid w:val="4739E252"/>
    <w:rsid w:val="478235D1"/>
    <w:rsid w:val="482E2A1E"/>
    <w:rsid w:val="4832EE3B"/>
    <w:rsid w:val="4842375A"/>
    <w:rsid w:val="48BE9FFF"/>
    <w:rsid w:val="496486FA"/>
    <w:rsid w:val="4967EF00"/>
    <w:rsid w:val="49E59CFD"/>
    <w:rsid w:val="49F185B7"/>
    <w:rsid w:val="4A306B5F"/>
    <w:rsid w:val="4A82E246"/>
    <w:rsid w:val="4AB2FE73"/>
    <w:rsid w:val="4B03BF61"/>
    <w:rsid w:val="4B0C241D"/>
    <w:rsid w:val="4B23D868"/>
    <w:rsid w:val="4B6DC497"/>
    <w:rsid w:val="4C06CF55"/>
    <w:rsid w:val="4C2B9B64"/>
    <w:rsid w:val="4C30D7AB"/>
    <w:rsid w:val="4C5D97AC"/>
    <w:rsid w:val="4C60482F"/>
    <w:rsid w:val="4C76737D"/>
    <w:rsid w:val="4CF9D77D"/>
    <w:rsid w:val="4D8B0DEE"/>
    <w:rsid w:val="4DF964DB"/>
    <w:rsid w:val="4E320320"/>
    <w:rsid w:val="4E37CF47"/>
    <w:rsid w:val="4E4DE987"/>
    <w:rsid w:val="4E536535"/>
    <w:rsid w:val="4E69C073"/>
    <w:rsid w:val="4E856890"/>
    <w:rsid w:val="4EB938C1"/>
    <w:rsid w:val="4EBF1F23"/>
    <w:rsid w:val="4F434E97"/>
    <w:rsid w:val="4F5932BC"/>
    <w:rsid w:val="4F77C9CC"/>
    <w:rsid w:val="4FCD7FA0"/>
    <w:rsid w:val="4FEEF5D4"/>
    <w:rsid w:val="502013A6"/>
    <w:rsid w:val="505F08A8"/>
    <w:rsid w:val="510FFDBF"/>
    <w:rsid w:val="517FF0F2"/>
    <w:rsid w:val="5188B8B6"/>
    <w:rsid w:val="51A1C165"/>
    <w:rsid w:val="51B77A63"/>
    <w:rsid w:val="522B924D"/>
    <w:rsid w:val="52CCD5FE"/>
    <w:rsid w:val="53560718"/>
    <w:rsid w:val="5392019B"/>
    <w:rsid w:val="53E43DAC"/>
    <w:rsid w:val="54989984"/>
    <w:rsid w:val="54F384C9"/>
    <w:rsid w:val="5510A7E9"/>
    <w:rsid w:val="555F4E5E"/>
    <w:rsid w:val="55A15E5F"/>
    <w:rsid w:val="55A59FC4"/>
    <w:rsid w:val="55D5A10C"/>
    <w:rsid w:val="5604C3BF"/>
    <w:rsid w:val="563954DA"/>
    <w:rsid w:val="564277F1"/>
    <w:rsid w:val="56632CA0"/>
    <w:rsid w:val="56A0E39B"/>
    <w:rsid w:val="57567D10"/>
    <w:rsid w:val="57A81786"/>
    <w:rsid w:val="57E40F20"/>
    <w:rsid w:val="582B258B"/>
    <w:rsid w:val="58CB793F"/>
    <w:rsid w:val="591BE823"/>
    <w:rsid w:val="59B3C443"/>
    <w:rsid w:val="59CFAB77"/>
    <w:rsid w:val="59E06F7C"/>
    <w:rsid w:val="59ED63D0"/>
    <w:rsid w:val="5A3D081E"/>
    <w:rsid w:val="5A91EEC4"/>
    <w:rsid w:val="5AC13A40"/>
    <w:rsid w:val="5ADB214E"/>
    <w:rsid w:val="5BD6710D"/>
    <w:rsid w:val="5CA9FE01"/>
    <w:rsid w:val="5CB7351E"/>
    <w:rsid w:val="5CD720C2"/>
    <w:rsid w:val="5D28D2BF"/>
    <w:rsid w:val="5D451E34"/>
    <w:rsid w:val="5D7E0248"/>
    <w:rsid w:val="5DF7A235"/>
    <w:rsid w:val="5E0DC636"/>
    <w:rsid w:val="5E2FACE8"/>
    <w:rsid w:val="5E8E6DED"/>
    <w:rsid w:val="5F365AF7"/>
    <w:rsid w:val="5F8E6CC1"/>
    <w:rsid w:val="5FA840B2"/>
    <w:rsid w:val="5FFBC038"/>
    <w:rsid w:val="5FFDA8D9"/>
    <w:rsid w:val="6007309B"/>
    <w:rsid w:val="600D67D3"/>
    <w:rsid w:val="615407D1"/>
    <w:rsid w:val="61B8E06F"/>
    <w:rsid w:val="621E195A"/>
    <w:rsid w:val="6257A969"/>
    <w:rsid w:val="6261D5A9"/>
    <w:rsid w:val="62921F95"/>
    <w:rsid w:val="629695E1"/>
    <w:rsid w:val="629717C3"/>
    <w:rsid w:val="62B9C8EB"/>
    <w:rsid w:val="62EFD832"/>
    <w:rsid w:val="634CFB9D"/>
    <w:rsid w:val="6383F38F"/>
    <w:rsid w:val="63BD3B8F"/>
    <w:rsid w:val="64181B87"/>
    <w:rsid w:val="6447A656"/>
    <w:rsid w:val="64BB251E"/>
    <w:rsid w:val="64E7D5AC"/>
    <w:rsid w:val="64F81928"/>
    <w:rsid w:val="652168B0"/>
    <w:rsid w:val="653BA387"/>
    <w:rsid w:val="65898DDB"/>
    <w:rsid w:val="65DA6CCF"/>
    <w:rsid w:val="66732935"/>
    <w:rsid w:val="6709B821"/>
    <w:rsid w:val="675BB522"/>
    <w:rsid w:val="6773D4FB"/>
    <w:rsid w:val="677D7DFE"/>
    <w:rsid w:val="67B5AB31"/>
    <w:rsid w:val="67C4A3FC"/>
    <w:rsid w:val="683AF606"/>
    <w:rsid w:val="68910581"/>
    <w:rsid w:val="68983673"/>
    <w:rsid w:val="68D300C9"/>
    <w:rsid w:val="69120D91"/>
    <w:rsid w:val="691ABA7D"/>
    <w:rsid w:val="69603395"/>
    <w:rsid w:val="69B6F6CE"/>
    <w:rsid w:val="69C01594"/>
    <w:rsid w:val="69FDDB17"/>
    <w:rsid w:val="6A2A0A98"/>
    <w:rsid w:val="6A9D317A"/>
    <w:rsid w:val="6B3EB323"/>
    <w:rsid w:val="6CB68D33"/>
    <w:rsid w:val="6CDC2004"/>
    <w:rsid w:val="6CE06798"/>
    <w:rsid w:val="6CFB9316"/>
    <w:rsid w:val="6D581B5E"/>
    <w:rsid w:val="6DE68155"/>
    <w:rsid w:val="6DF89EFC"/>
    <w:rsid w:val="6E014BC4"/>
    <w:rsid w:val="6E0D2519"/>
    <w:rsid w:val="6E2424FD"/>
    <w:rsid w:val="6E471DD2"/>
    <w:rsid w:val="6E80EC1B"/>
    <w:rsid w:val="6F090669"/>
    <w:rsid w:val="6F31EA07"/>
    <w:rsid w:val="6F42527E"/>
    <w:rsid w:val="6FADD6F0"/>
    <w:rsid w:val="6FEE8852"/>
    <w:rsid w:val="70125648"/>
    <w:rsid w:val="710C72FE"/>
    <w:rsid w:val="712DCC73"/>
    <w:rsid w:val="71E9DAB3"/>
    <w:rsid w:val="71EF0E89"/>
    <w:rsid w:val="7237E7C7"/>
    <w:rsid w:val="72A99ECF"/>
    <w:rsid w:val="72E41ED3"/>
    <w:rsid w:val="733CADAA"/>
    <w:rsid w:val="7346D699"/>
    <w:rsid w:val="73572339"/>
    <w:rsid w:val="736F5F20"/>
    <w:rsid w:val="7381B2EA"/>
    <w:rsid w:val="73A5F52F"/>
    <w:rsid w:val="744B63E8"/>
    <w:rsid w:val="74945715"/>
    <w:rsid w:val="74BCC4BF"/>
    <w:rsid w:val="7562CA53"/>
    <w:rsid w:val="75A72F06"/>
    <w:rsid w:val="75EF9B6E"/>
    <w:rsid w:val="763984C6"/>
    <w:rsid w:val="76F2814B"/>
    <w:rsid w:val="770B58EA"/>
    <w:rsid w:val="779E6799"/>
    <w:rsid w:val="77DAEC5D"/>
    <w:rsid w:val="77F2745C"/>
    <w:rsid w:val="77FF5285"/>
    <w:rsid w:val="7845A6DF"/>
    <w:rsid w:val="786D094B"/>
    <w:rsid w:val="787DC2CA"/>
    <w:rsid w:val="79E43567"/>
    <w:rsid w:val="7A027207"/>
    <w:rsid w:val="7A1629B9"/>
    <w:rsid w:val="7A51A958"/>
    <w:rsid w:val="7AA4E78C"/>
    <w:rsid w:val="7AD6085B"/>
    <w:rsid w:val="7AE3CE8B"/>
    <w:rsid w:val="7B1D9183"/>
    <w:rsid w:val="7B20098D"/>
    <w:rsid w:val="7B4F14C5"/>
    <w:rsid w:val="7B65B0B8"/>
    <w:rsid w:val="7BC043F0"/>
    <w:rsid w:val="7C3B786D"/>
    <w:rsid w:val="7C67BFA3"/>
    <w:rsid w:val="7C84A72A"/>
    <w:rsid w:val="7CB9F41B"/>
    <w:rsid w:val="7CF894D4"/>
    <w:rsid w:val="7CF9A015"/>
    <w:rsid w:val="7CFB7668"/>
    <w:rsid w:val="7D13FC7F"/>
    <w:rsid w:val="7D359CF4"/>
    <w:rsid w:val="7D4B68CE"/>
    <w:rsid w:val="7DDC884E"/>
    <w:rsid w:val="7DFDA4C9"/>
    <w:rsid w:val="7E5410A9"/>
    <w:rsid w:val="7E946535"/>
    <w:rsid w:val="7E9AF64C"/>
    <w:rsid w:val="7ED8EBF4"/>
    <w:rsid w:val="7FA80D51"/>
    <w:rsid w:val="7FA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AF2D"/>
  <w15:chartTrackingRefBased/>
  <w15:docId w15:val="{D4AD5CCD-96D8-4902-AA46-D144A50A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C15AC"/>
    <w:pPr>
      <w:ind w:left="720"/>
      <w:contextualSpacing/>
    </w:pPr>
  </w:style>
  <w:style w:type="table" w:styleId="TableGrid">
    <w:name w:val="Table Grid"/>
    <w:basedOn w:val="TableNormal"/>
    <w:uiPriority w:val="39"/>
    <w:rsid w:val="0079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5554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F16C41F6-F039-478A-8431-FA7F31170699}">
    <t:Anchor>
      <t:Comment id="789185319"/>
    </t:Anchor>
    <t:History>
      <t:Event id="{71E4FFBF-1A1D-4EB1-8C3E-8118B6845AA9}" time="2024-05-14T15:34:06.35Z">
        <t:Attribution userId="S::c.b.greaves@exeter.ac.uk::956b4efe-a4f9-484c-ab83-2d740f15f4b8" userProvider="AD" userName="Greaves, Corinne"/>
        <t:Anchor>
          <t:Comment id="789185319"/>
        </t:Anchor>
        <t:Create/>
      </t:Event>
      <t:Event id="{A610DF41-6AE1-4798-AEC7-88AF7F195B89}" time="2024-05-14T15:34:06.35Z">
        <t:Attribution userId="S::c.b.greaves@exeter.ac.uk::956b4efe-a4f9-484c-ab83-2d740f15f4b8" userProvider="AD" userName="Greaves, Corinne"/>
        <t:Anchor>
          <t:Comment id="789185319"/>
        </t:Anchor>
        <t:Assign userId="S::K.V.S.Fyfe@exeter.ac.uk::f6bd8ada-c002-403c-9b2d-423298abf3af" userProvider="AD" userName="Fyfe, Kathryn"/>
      </t:Event>
      <t:Event id="{C2C9AAD2-57B6-4C74-8225-BBD3540C6E7C}" time="2024-05-14T15:34:06.35Z">
        <t:Attribution userId="S::c.b.greaves@exeter.ac.uk::956b4efe-a4f9-484c-ab83-2d740f15f4b8" userProvider="AD" userName="Greaves, Corinne"/>
        <t:Anchor>
          <t:Comment id="789185319"/>
        </t:Anchor>
        <t:SetTitle title="@Fyfe, Kathryn Do you know what this means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1545861790b34be2" Type="http://schemas.microsoft.com/office/2016/09/relationships/commentsIds" Target="commentsIds.xml"/><Relationship Id="Ra364992784894bae" Type="http://schemas.microsoft.com/office/2019/05/relationships/documenttasks" Target="task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news/uk-england-devon-68033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8" ma:contentTypeDescription="Create a new document." ma:contentTypeScope="" ma:versionID="cb3d8d600a434762366acd4cee60c6ec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b3ca170452b110f1ad28a53ca66099ab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360A6-3CB6-4828-A63F-74A580519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CC2D9-FFCD-437A-B788-A2E418EC5044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customXml/itemProps3.xml><?xml version="1.0" encoding="utf-8"?>
<ds:datastoreItem xmlns:ds="http://schemas.openxmlformats.org/officeDocument/2006/customXml" ds:itemID="{8285DDB9-E0EA-4994-9486-F752F2450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7405</Characters>
  <Application>Microsoft Office Word</Application>
  <DocSecurity>0</DocSecurity>
  <Lines>61</Lines>
  <Paragraphs>17</Paragraphs>
  <ScaleCrop>false</ScaleCrop>
  <Company>University of Exeter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Fyfe, Kathryn</dc:creator>
  <cp:keywords/>
  <dc:description/>
  <cp:lastModifiedBy>Fyfe, Kathryn</cp:lastModifiedBy>
  <cp:revision>133</cp:revision>
  <dcterms:created xsi:type="dcterms:W3CDTF">2024-04-23T18:16:00Z</dcterms:created>
  <dcterms:modified xsi:type="dcterms:W3CDTF">2024-06-03T15:16:00Z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</Properties>
</file>