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50B" w14:textId="396C3648" w:rsidR="0089419B" w:rsidRPr="00F27011" w:rsidRDefault="003A4921" w:rsidP="00523FED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bookmarkStart w:id="0" w:name="_Toc138860437"/>
      <w:bookmarkStart w:id="1" w:name="_Toc138860494"/>
      <w:r w:rsidRPr="00F27011">
        <w:rPr>
          <w:rFonts w:asciiTheme="majorHAnsi" w:hAnsiTheme="majorHAnsi" w:cstheme="majorHAnsi"/>
          <w:b/>
          <w:bCs/>
          <w:color w:val="0070C0"/>
          <w:sz w:val="32"/>
          <w:szCs w:val="32"/>
        </w:rPr>
        <w:t>HLS</w:t>
      </w:r>
      <w:r w:rsidR="00E47F88" w:rsidRPr="00F2701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</w:t>
      </w:r>
      <w:r w:rsidR="0020443E" w:rsidRPr="00F2701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MPhil to PhD </w:t>
      </w:r>
      <w:r w:rsidRPr="00F27011">
        <w:rPr>
          <w:rFonts w:asciiTheme="majorHAnsi" w:hAnsiTheme="majorHAnsi" w:cstheme="majorHAnsi"/>
          <w:b/>
          <w:bCs/>
          <w:color w:val="0070C0"/>
          <w:sz w:val="32"/>
          <w:szCs w:val="32"/>
        </w:rPr>
        <w:t>upgrade examination guidance</w:t>
      </w:r>
      <w:r w:rsidR="0020443E" w:rsidRPr="00F2701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: </w:t>
      </w:r>
      <w:bookmarkEnd w:id="0"/>
      <w:bookmarkEnd w:id="1"/>
      <w:r w:rsidR="000D2145">
        <w:rPr>
          <w:rFonts w:asciiTheme="majorHAnsi" w:hAnsiTheme="majorHAnsi" w:cstheme="majorHAnsi"/>
          <w:b/>
          <w:bCs/>
          <w:color w:val="0070C0"/>
          <w:sz w:val="32"/>
          <w:szCs w:val="32"/>
        </w:rPr>
        <w:t>PGR students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687463224"/>
        <w:docPartObj>
          <w:docPartGallery w:val="Table of Contents"/>
          <w:docPartUnique/>
        </w:docPartObj>
      </w:sdtPr>
      <w:sdtEndPr/>
      <w:sdtContent>
        <w:p w14:paraId="7B10E728" w14:textId="77777777" w:rsidR="00902D26" w:rsidRDefault="00F95A44" w:rsidP="00E003CA">
          <w:pPr>
            <w:pStyle w:val="TOCHeading"/>
            <w:rPr>
              <w:noProof/>
            </w:rPr>
          </w:pPr>
          <w:r>
            <w:t>Contents</w:t>
          </w:r>
        </w:p>
        <w:p w14:paraId="40CF1CF8" w14:textId="537F0DB6" w:rsidR="00944E8C" w:rsidRPr="00944E8C" w:rsidRDefault="0063770A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41101076" w:history="1">
            <w:r w:rsidR="00944E8C" w:rsidRPr="00944E8C">
              <w:rPr>
                <w:rStyle w:val="Hyperlink"/>
                <w:noProof/>
                <w:lang w:val="en-US"/>
              </w:rPr>
              <w:t>1.</w:t>
            </w:r>
            <w:r w:rsidR="00944E8C"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944E8C" w:rsidRPr="00944E8C">
              <w:rPr>
                <w:rStyle w:val="Hyperlink"/>
                <w:noProof/>
                <w:lang w:val="en-US"/>
              </w:rPr>
              <w:t>The purpose of the upgrade:</w:t>
            </w:r>
            <w:r w:rsidR="00944E8C" w:rsidRPr="00944E8C">
              <w:rPr>
                <w:noProof/>
                <w:webHidden/>
              </w:rPr>
              <w:tab/>
            </w:r>
            <w:r w:rsidR="00944E8C" w:rsidRPr="00944E8C">
              <w:rPr>
                <w:noProof/>
                <w:webHidden/>
              </w:rPr>
              <w:fldChar w:fldCharType="begin"/>
            </w:r>
            <w:r w:rsidR="00944E8C" w:rsidRPr="00944E8C">
              <w:rPr>
                <w:noProof/>
                <w:webHidden/>
              </w:rPr>
              <w:instrText xml:space="preserve"> PAGEREF _Toc141101076 \h </w:instrText>
            </w:r>
            <w:r w:rsidR="00944E8C" w:rsidRPr="00944E8C">
              <w:rPr>
                <w:noProof/>
                <w:webHidden/>
              </w:rPr>
            </w:r>
            <w:r w:rsidR="00944E8C" w:rsidRPr="00944E8C">
              <w:rPr>
                <w:noProof/>
                <w:webHidden/>
              </w:rPr>
              <w:fldChar w:fldCharType="separate"/>
            </w:r>
            <w:r w:rsidR="00944E8C" w:rsidRPr="00944E8C">
              <w:rPr>
                <w:noProof/>
                <w:webHidden/>
              </w:rPr>
              <w:t>1</w:t>
            </w:r>
            <w:r w:rsidR="00944E8C" w:rsidRPr="00944E8C">
              <w:rPr>
                <w:noProof/>
                <w:webHidden/>
              </w:rPr>
              <w:fldChar w:fldCharType="end"/>
            </w:r>
          </w:hyperlink>
        </w:p>
        <w:p w14:paraId="64971A47" w14:textId="793DC061" w:rsidR="00944E8C" w:rsidRPr="00944E8C" w:rsidRDefault="00944E8C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77" w:history="1">
            <w:r w:rsidRPr="00944E8C">
              <w:rPr>
                <w:rStyle w:val="Hyperlink"/>
                <w:noProof/>
                <w:lang w:val="en-US"/>
              </w:rPr>
              <w:t>2.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Upgrade timeline: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_Toc141101077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1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13D7FAE0" w14:textId="67F354E8" w:rsidR="00944E8C" w:rsidRPr="00944E8C" w:rsidRDefault="00944E8C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78" w:history="1">
            <w:r w:rsidRPr="00944E8C">
              <w:rPr>
                <w:rStyle w:val="Hyperlink"/>
                <w:noProof/>
              </w:rPr>
              <w:t>3.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HLS Upgrade documents: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_Toc141101078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2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5FC0181F" w14:textId="0C377460" w:rsidR="00944E8C" w:rsidRPr="00944E8C" w:rsidRDefault="00944E8C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79" w:history="1">
            <w:r w:rsidRPr="00944E8C">
              <w:rPr>
                <w:rStyle w:val="Hyperlink"/>
                <w:noProof/>
              </w:rPr>
              <w:t>4.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HLS Upgrade committee: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_Toc141101079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2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676A58AB" w14:textId="39DF3F2D" w:rsidR="00944E8C" w:rsidRPr="00944E8C" w:rsidRDefault="00944E8C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0" w:history="1">
            <w:r w:rsidRPr="00944E8C">
              <w:rPr>
                <w:rStyle w:val="Hyperlink"/>
                <w:noProof/>
              </w:rPr>
              <w:t>5.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Upgrade examination: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_Toc141101080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2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75D8782D" w14:textId="1EED6EA2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1" w:history="1">
            <w:r w:rsidRPr="00944E8C">
              <w:rPr>
                <w:rStyle w:val="Hyperlink"/>
                <w:noProof/>
              </w:rPr>
              <w:t>a.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HLS Upgrade assessment guidelines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_Toc141101081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2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0C87514F" w14:textId="0B971B30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2" w:history="1">
            <w:r w:rsidRPr="00944E8C">
              <w:rPr>
                <w:rStyle w:val="Hyperlink"/>
                <w:noProof/>
              </w:rPr>
              <w:t>b.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Upgrade marking criteria (completed via myPGR)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_Toc141101082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3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3E46FA06" w14:textId="664E5645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3" w:history="1">
            <w:r w:rsidRPr="00944E8C">
              <w:rPr>
                <w:rStyle w:val="Hyperlink"/>
                <w:noProof/>
              </w:rPr>
              <w:t>c.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Academic research misconduct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_Toc141101083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4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43F2861B" w14:textId="3A426B58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4" w:history="1">
            <w:r w:rsidRPr="00944E8C">
              <w:rPr>
                <w:rStyle w:val="Hyperlink"/>
                <w:noProof/>
              </w:rPr>
              <w:t>d.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Scheduling the examination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_Toc141101084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4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4A0F900D" w14:textId="25BA98EC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5" w:history="1">
            <w:r w:rsidRPr="00944E8C">
              <w:rPr>
                <w:rStyle w:val="Hyperlink"/>
                <w:noProof/>
              </w:rPr>
              <w:t>e.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Presence of your supervisor during the examination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_Toc141101085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4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52161F2F" w14:textId="1A47C59B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6" w:history="1">
            <w:r w:rsidRPr="00944E8C">
              <w:rPr>
                <w:rStyle w:val="Hyperlink"/>
                <w:noProof/>
              </w:rPr>
              <w:t>f.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Oral Presentation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_Toc141101086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4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35B72D75" w14:textId="73F699A0" w:rsidR="00944E8C" w:rsidRPr="00944E8C" w:rsidRDefault="00944E8C">
          <w:pPr>
            <w:pStyle w:val="TOC3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7" w:history="1">
            <w:r w:rsidRPr="00944E8C">
              <w:rPr>
                <w:rStyle w:val="Hyperlink"/>
                <w:noProof/>
              </w:rPr>
              <w:t>g.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Viva voce (oral examination)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_Toc141101087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5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4F57C41C" w14:textId="138D8875" w:rsidR="00944E8C" w:rsidRPr="00944E8C" w:rsidRDefault="00944E8C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8" w:history="1">
            <w:r w:rsidRPr="00944E8C">
              <w:rPr>
                <w:rStyle w:val="Hyperlink"/>
                <w:noProof/>
              </w:rPr>
              <w:t>6.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Upgrade outcomes: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_Toc141101088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5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750B4182" w14:textId="0E18C81E" w:rsidR="00944E8C" w:rsidRPr="00944E8C" w:rsidRDefault="00944E8C">
          <w:pPr>
            <w:pStyle w:val="TOC2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41101089" w:history="1">
            <w:r w:rsidRPr="00944E8C">
              <w:rPr>
                <w:rStyle w:val="Hyperlink"/>
                <w:noProof/>
              </w:rPr>
              <w:t>7.</w:t>
            </w:r>
            <w:r w:rsidRPr="00944E8C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Pr="00944E8C">
              <w:rPr>
                <w:rStyle w:val="Hyperlink"/>
                <w:noProof/>
              </w:rPr>
              <w:t>Upgrade feedback:</w:t>
            </w:r>
            <w:r w:rsidRPr="00944E8C">
              <w:rPr>
                <w:noProof/>
                <w:webHidden/>
              </w:rPr>
              <w:tab/>
            </w:r>
            <w:r w:rsidRPr="00944E8C">
              <w:rPr>
                <w:noProof/>
                <w:webHidden/>
              </w:rPr>
              <w:fldChar w:fldCharType="begin"/>
            </w:r>
            <w:r w:rsidRPr="00944E8C">
              <w:rPr>
                <w:noProof/>
                <w:webHidden/>
              </w:rPr>
              <w:instrText xml:space="preserve"> PAGEREF _Toc141101089 \h </w:instrText>
            </w:r>
            <w:r w:rsidRPr="00944E8C">
              <w:rPr>
                <w:noProof/>
                <w:webHidden/>
              </w:rPr>
            </w:r>
            <w:r w:rsidRPr="00944E8C">
              <w:rPr>
                <w:noProof/>
                <w:webHidden/>
              </w:rPr>
              <w:fldChar w:fldCharType="separate"/>
            </w:r>
            <w:r w:rsidRPr="00944E8C">
              <w:rPr>
                <w:noProof/>
                <w:webHidden/>
              </w:rPr>
              <w:t>5</w:t>
            </w:r>
            <w:r w:rsidRPr="00944E8C">
              <w:rPr>
                <w:noProof/>
                <w:webHidden/>
              </w:rPr>
              <w:fldChar w:fldCharType="end"/>
            </w:r>
          </w:hyperlink>
        </w:p>
        <w:p w14:paraId="6F96A514" w14:textId="4BDD022D" w:rsidR="00902D26" w:rsidRDefault="0063770A" w:rsidP="5C2B54AE">
          <w:pPr>
            <w:pStyle w:val="TOC2"/>
            <w:tabs>
              <w:tab w:val="left" w:pos="660"/>
              <w:tab w:val="right" w:leader="dot" w:pos="10455"/>
            </w:tabs>
            <w:rPr>
              <w:rStyle w:val="Hyperlink"/>
              <w:noProof/>
              <w:kern w:val="2"/>
              <w:lang w:eastAsia="en-GB"/>
              <w14:ligatures w14:val="standardContextual"/>
            </w:rPr>
          </w:pPr>
          <w:r>
            <w:fldChar w:fldCharType="end"/>
          </w:r>
        </w:p>
      </w:sdtContent>
    </w:sdt>
    <w:p w14:paraId="7605B059" w14:textId="77777777" w:rsidR="005900D1" w:rsidRDefault="005900D1" w:rsidP="0059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This document is intended for students who started their PhD studies from September 2023 onwards. Students who commenced their studies prior to this date should follow previous guidance.</w:t>
      </w:r>
    </w:p>
    <w:p w14:paraId="201F90E0" w14:textId="77777777" w:rsidR="005900D1" w:rsidRDefault="005900D1"/>
    <w:p w14:paraId="24B650A9" w14:textId="163BDB23" w:rsidR="4D87156F" w:rsidRPr="004F0519" w:rsidRDefault="4D87156F" w:rsidP="004F0519">
      <w:pPr>
        <w:pStyle w:val="Heading2"/>
        <w:numPr>
          <w:ilvl w:val="0"/>
          <w:numId w:val="4"/>
        </w:numPr>
        <w:rPr>
          <w:b/>
          <w:bCs/>
          <w:lang w:val="en-US"/>
        </w:rPr>
      </w:pPr>
      <w:bookmarkStart w:id="2" w:name="_Toc141101076"/>
      <w:r w:rsidRPr="004F0519">
        <w:rPr>
          <w:b/>
          <w:bCs/>
          <w:lang w:val="en-US"/>
        </w:rPr>
        <w:t>The purpose of the upgrade:</w:t>
      </w:r>
      <w:bookmarkEnd w:id="2"/>
    </w:p>
    <w:p w14:paraId="37258945" w14:textId="0C9BABCC" w:rsidR="4D87156F" w:rsidRDefault="4D87156F" w:rsidP="35864632">
      <w:pPr>
        <w:spacing w:before="240"/>
        <w:jc w:val="both"/>
        <w:rPr>
          <w:lang w:val="en-US"/>
        </w:rPr>
      </w:pPr>
      <w:r w:rsidRPr="35864632">
        <w:rPr>
          <w:lang w:val="en-US"/>
        </w:rPr>
        <w:t>Guidance from the Postgraduate Research Handbook</w:t>
      </w:r>
    </w:p>
    <w:p w14:paraId="6D79C23C" w14:textId="783D635D" w:rsidR="4D87156F" w:rsidRDefault="00444153" w:rsidP="35864632">
      <w:pPr>
        <w:jc w:val="both"/>
      </w:pPr>
      <w:hyperlink r:id="rId11" w:anchor="purpose">
        <w:r w:rsidR="4D87156F" w:rsidRPr="35864632">
          <w:rPr>
            <w:rStyle w:val="Hyperlink"/>
            <w:rFonts w:ascii="Calibri" w:eastAsia="Calibri" w:hAnsi="Calibri" w:cs="Calibri"/>
            <w:lang w:val="en-US"/>
          </w:rPr>
          <w:t>9 - Upgrade from MPhil to Doctoral Study - Teaching Quality Assurance Manual - University of Exeter</w:t>
        </w:r>
      </w:hyperlink>
      <w:r w:rsidR="4D87156F" w:rsidRPr="35864632">
        <w:rPr>
          <w:rFonts w:ascii="Calibri" w:eastAsia="Calibri" w:hAnsi="Calibri" w:cs="Calibri"/>
          <w:lang w:val="en-US"/>
        </w:rPr>
        <w:t>:</w:t>
      </w:r>
    </w:p>
    <w:p w14:paraId="5B6E9C62" w14:textId="0F8CED9D" w:rsidR="4D87156F" w:rsidRDefault="4D87156F" w:rsidP="35864632">
      <w:pPr>
        <w:jc w:val="both"/>
      </w:pPr>
      <w:r w:rsidRPr="35864632">
        <w:rPr>
          <w:rFonts w:ascii="Calibri" w:eastAsia="Calibri" w:hAnsi="Calibri" w:cs="Calibri"/>
          <w:lang w:val="en-US"/>
        </w:rPr>
        <w:t>The purpose of the upgrade process is to:</w:t>
      </w:r>
    </w:p>
    <w:p w14:paraId="06771099" w14:textId="4E976E41" w:rsidR="4D87156F" w:rsidRDefault="4D87156F" w:rsidP="35864632">
      <w:pPr>
        <w:pStyle w:val="ListParagraph"/>
        <w:numPr>
          <w:ilvl w:val="1"/>
          <w:numId w:val="1"/>
        </w:numPr>
        <w:jc w:val="both"/>
        <w:rPr>
          <w:rFonts w:ascii="Calibri" w:eastAsia="Calibri" w:hAnsi="Calibri" w:cs="Calibri"/>
          <w:lang w:val="en-US"/>
        </w:rPr>
      </w:pPr>
      <w:r w:rsidRPr="35864632">
        <w:rPr>
          <w:rFonts w:ascii="Calibri" w:eastAsia="Calibri" w:hAnsi="Calibri" w:cs="Calibri"/>
          <w:lang w:val="en-US"/>
        </w:rPr>
        <w:t xml:space="preserve">Confirm that </w:t>
      </w:r>
      <w:r w:rsidR="00AA17E3">
        <w:rPr>
          <w:rFonts w:ascii="Calibri" w:eastAsia="Calibri" w:hAnsi="Calibri" w:cs="Calibri"/>
          <w:lang w:val="en-US"/>
        </w:rPr>
        <w:t>you are</w:t>
      </w:r>
      <w:r w:rsidRPr="35864632">
        <w:rPr>
          <w:rFonts w:ascii="Calibri" w:eastAsia="Calibri" w:hAnsi="Calibri" w:cs="Calibri"/>
          <w:lang w:val="en-US"/>
        </w:rPr>
        <w:t xml:space="preserve"> making satisfactory progress</w:t>
      </w:r>
      <w:r w:rsidR="00FA0F91">
        <w:rPr>
          <w:rFonts w:ascii="Calibri" w:eastAsia="Calibri" w:hAnsi="Calibri" w:cs="Calibri"/>
          <w:lang w:val="en-US"/>
        </w:rPr>
        <w:t>.</w:t>
      </w:r>
    </w:p>
    <w:p w14:paraId="6262B375" w14:textId="4AD80683" w:rsidR="4D87156F" w:rsidRDefault="4D87156F" w:rsidP="35864632">
      <w:pPr>
        <w:pStyle w:val="ListParagraph"/>
        <w:numPr>
          <w:ilvl w:val="1"/>
          <w:numId w:val="1"/>
        </w:numPr>
        <w:jc w:val="both"/>
        <w:rPr>
          <w:rFonts w:ascii="Calibri" w:eastAsia="Calibri" w:hAnsi="Calibri" w:cs="Calibri"/>
          <w:lang w:val="en-US"/>
        </w:rPr>
      </w:pPr>
      <w:r w:rsidRPr="35864632">
        <w:rPr>
          <w:rFonts w:ascii="Calibri" w:eastAsia="Calibri" w:hAnsi="Calibri" w:cs="Calibri"/>
          <w:lang w:val="en-US"/>
        </w:rPr>
        <w:t xml:space="preserve">Confirm that there is evidence that </w:t>
      </w:r>
      <w:r w:rsidR="00AA17E3">
        <w:rPr>
          <w:rFonts w:ascii="Calibri" w:eastAsia="Calibri" w:hAnsi="Calibri" w:cs="Calibri"/>
          <w:lang w:val="en-US"/>
        </w:rPr>
        <w:t xml:space="preserve">you </w:t>
      </w:r>
      <w:r w:rsidR="00DB3541">
        <w:rPr>
          <w:rFonts w:ascii="Calibri" w:eastAsia="Calibri" w:hAnsi="Calibri" w:cs="Calibri"/>
          <w:lang w:val="en-US"/>
        </w:rPr>
        <w:t>can</w:t>
      </w:r>
      <w:r w:rsidRPr="35864632">
        <w:rPr>
          <w:rFonts w:ascii="Calibri" w:eastAsia="Calibri" w:hAnsi="Calibri" w:cs="Calibri"/>
          <w:lang w:val="en-US"/>
        </w:rPr>
        <w:t xml:space="preserve"> produce work of doctoral quality</w:t>
      </w:r>
      <w:r w:rsidR="00FA0F91">
        <w:rPr>
          <w:rFonts w:ascii="Calibri" w:eastAsia="Calibri" w:hAnsi="Calibri" w:cs="Calibri"/>
          <w:lang w:val="en-US"/>
        </w:rPr>
        <w:t>.</w:t>
      </w:r>
    </w:p>
    <w:p w14:paraId="4A63062A" w14:textId="68877E49" w:rsidR="4D87156F" w:rsidRDefault="4D87156F" w:rsidP="35864632">
      <w:pPr>
        <w:pStyle w:val="ListParagraph"/>
        <w:numPr>
          <w:ilvl w:val="1"/>
          <w:numId w:val="1"/>
        </w:numPr>
        <w:jc w:val="both"/>
        <w:rPr>
          <w:rFonts w:ascii="Calibri" w:eastAsia="Calibri" w:hAnsi="Calibri" w:cs="Calibri"/>
          <w:lang w:val="en-US"/>
        </w:rPr>
      </w:pPr>
      <w:r w:rsidRPr="35864632">
        <w:rPr>
          <w:rFonts w:ascii="Calibri" w:eastAsia="Calibri" w:hAnsi="Calibri" w:cs="Calibri"/>
          <w:lang w:val="en-US"/>
        </w:rPr>
        <w:t xml:space="preserve">Act as a structural milestone within </w:t>
      </w:r>
      <w:r w:rsidR="00AA17E3">
        <w:rPr>
          <w:rFonts w:ascii="Calibri" w:eastAsia="Calibri" w:hAnsi="Calibri" w:cs="Calibri"/>
          <w:lang w:val="en-US"/>
        </w:rPr>
        <w:t>your</w:t>
      </w:r>
      <w:r w:rsidRPr="35864632">
        <w:rPr>
          <w:rFonts w:ascii="Calibri" w:eastAsia="Calibri" w:hAnsi="Calibri" w:cs="Calibri"/>
          <w:lang w:val="en-US"/>
        </w:rPr>
        <w:t xml:space="preserve"> research journey</w:t>
      </w:r>
      <w:r w:rsidR="00FA0F91">
        <w:rPr>
          <w:rFonts w:ascii="Calibri" w:eastAsia="Calibri" w:hAnsi="Calibri" w:cs="Calibri"/>
          <w:lang w:val="en-US"/>
        </w:rPr>
        <w:t>.</w:t>
      </w:r>
    </w:p>
    <w:p w14:paraId="5BA1FFA7" w14:textId="5EC8E430" w:rsidR="4D87156F" w:rsidRDefault="4D87156F" w:rsidP="35864632">
      <w:pPr>
        <w:pStyle w:val="ListParagraph"/>
        <w:numPr>
          <w:ilvl w:val="1"/>
          <w:numId w:val="1"/>
        </w:numPr>
        <w:jc w:val="both"/>
        <w:rPr>
          <w:rFonts w:ascii="Calibri" w:eastAsia="Calibri" w:hAnsi="Calibri" w:cs="Calibri"/>
          <w:lang w:val="en-US"/>
        </w:rPr>
      </w:pPr>
      <w:r w:rsidRPr="35864632">
        <w:rPr>
          <w:rFonts w:ascii="Calibri" w:eastAsia="Calibri" w:hAnsi="Calibri" w:cs="Calibri"/>
          <w:lang w:val="en-US"/>
        </w:rPr>
        <w:t xml:space="preserve">Provide </w:t>
      </w:r>
      <w:r w:rsidR="00AA17E3">
        <w:rPr>
          <w:rFonts w:ascii="Calibri" w:eastAsia="Calibri" w:hAnsi="Calibri" w:cs="Calibri"/>
          <w:lang w:val="en-US"/>
        </w:rPr>
        <w:t>you</w:t>
      </w:r>
      <w:r w:rsidRPr="35864632">
        <w:rPr>
          <w:rFonts w:ascii="Calibri" w:eastAsia="Calibri" w:hAnsi="Calibri" w:cs="Calibri"/>
          <w:lang w:val="en-US"/>
        </w:rPr>
        <w:t xml:space="preserve"> with formal feedback on </w:t>
      </w:r>
      <w:r w:rsidR="00AA17E3">
        <w:rPr>
          <w:rFonts w:ascii="Calibri" w:eastAsia="Calibri" w:hAnsi="Calibri" w:cs="Calibri"/>
          <w:lang w:val="en-US"/>
        </w:rPr>
        <w:t>your</w:t>
      </w:r>
      <w:r w:rsidRPr="35864632">
        <w:rPr>
          <w:rFonts w:ascii="Calibri" w:eastAsia="Calibri" w:hAnsi="Calibri" w:cs="Calibri"/>
          <w:lang w:val="en-US"/>
        </w:rPr>
        <w:t xml:space="preserve"> work, and a developmental opportunity in the form of a viva</w:t>
      </w:r>
      <w:r w:rsidR="00300799">
        <w:rPr>
          <w:rFonts w:ascii="Calibri" w:eastAsia="Calibri" w:hAnsi="Calibri" w:cs="Calibri"/>
          <w:lang w:val="en-US"/>
        </w:rPr>
        <w:t xml:space="preserve"> (oral examination)</w:t>
      </w:r>
      <w:r w:rsidR="00FA0F91">
        <w:rPr>
          <w:rFonts w:ascii="Calibri" w:eastAsia="Calibri" w:hAnsi="Calibri" w:cs="Calibri"/>
          <w:lang w:val="en-US"/>
        </w:rPr>
        <w:t>.</w:t>
      </w:r>
    </w:p>
    <w:p w14:paraId="10A3168C" w14:textId="30C68C32" w:rsidR="4D87156F" w:rsidRDefault="4D87156F" w:rsidP="35864632">
      <w:pPr>
        <w:pStyle w:val="ListParagraph"/>
        <w:numPr>
          <w:ilvl w:val="1"/>
          <w:numId w:val="1"/>
        </w:numPr>
        <w:jc w:val="both"/>
        <w:rPr>
          <w:rFonts w:ascii="Calibri" w:eastAsia="Calibri" w:hAnsi="Calibri" w:cs="Calibri"/>
          <w:lang w:val="en-US"/>
        </w:rPr>
      </w:pPr>
      <w:r w:rsidRPr="35864632">
        <w:rPr>
          <w:rFonts w:ascii="Calibri" w:eastAsia="Calibri" w:hAnsi="Calibri" w:cs="Calibri"/>
          <w:lang w:val="en-US"/>
        </w:rPr>
        <w:t>Provide an opportunity for a detailed review of the research project and plan from experts independent of the supervisory team.</w:t>
      </w:r>
    </w:p>
    <w:p w14:paraId="03A1E32C" w14:textId="77777777" w:rsidR="004F0519" w:rsidRDefault="004F0519" w:rsidP="004F0519">
      <w:pPr>
        <w:pStyle w:val="ListParagraph"/>
        <w:ind w:left="1440"/>
        <w:jc w:val="both"/>
        <w:rPr>
          <w:rFonts w:ascii="Calibri" w:eastAsia="Calibri" w:hAnsi="Calibri" w:cs="Calibri"/>
          <w:lang w:val="en-US"/>
        </w:rPr>
      </w:pPr>
    </w:p>
    <w:p w14:paraId="4CDF8BCF" w14:textId="77777777" w:rsidR="00E840A0" w:rsidRPr="004F0519" w:rsidRDefault="00124751" w:rsidP="004F0519">
      <w:pPr>
        <w:pStyle w:val="Heading2"/>
        <w:numPr>
          <w:ilvl w:val="0"/>
          <w:numId w:val="1"/>
        </w:numPr>
        <w:rPr>
          <w:b/>
          <w:bCs/>
          <w:lang w:val="en-US"/>
        </w:rPr>
      </w:pPr>
      <w:bookmarkStart w:id="3" w:name="_Toc141101077"/>
      <w:r w:rsidRPr="004F0519">
        <w:rPr>
          <w:b/>
          <w:bCs/>
        </w:rPr>
        <w:t xml:space="preserve">Upgrade </w:t>
      </w:r>
      <w:r w:rsidR="0089003E" w:rsidRPr="004F0519">
        <w:rPr>
          <w:b/>
          <w:bCs/>
        </w:rPr>
        <w:t>timeline</w:t>
      </w:r>
      <w:r w:rsidRPr="004F0519">
        <w:rPr>
          <w:b/>
          <w:bCs/>
        </w:rPr>
        <w:t>:</w:t>
      </w:r>
      <w:bookmarkEnd w:id="3"/>
      <w:r w:rsidRPr="004F0519">
        <w:rPr>
          <w:b/>
          <w:bCs/>
        </w:rPr>
        <w:t xml:space="preserve"> </w:t>
      </w:r>
    </w:p>
    <w:p w14:paraId="2601A3C6" w14:textId="40894FA4" w:rsidR="00E840A0" w:rsidRDefault="00C73589" w:rsidP="00C662E8">
      <w:pPr>
        <w:pStyle w:val="ListParagraph"/>
        <w:numPr>
          <w:ilvl w:val="1"/>
          <w:numId w:val="1"/>
        </w:numPr>
        <w:spacing w:before="240"/>
        <w:jc w:val="both"/>
        <w:rPr>
          <w:lang w:val="en-US"/>
        </w:rPr>
      </w:pPr>
      <w:r w:rsidRPr="35864632">
        <w:rPr>
          <w:lang w:val="en-US"/>
        </w:rPr>
        <w:t>The upgrade process</w:t>
      </w:r>
      <w:r w:rsidR="00AD543D" w:rsidRPr="35864632">
        <w:rPr>
          <w:lang w:val="en-US"/>
        </w:rPr>
        <w:t>,</w:t>
      </w:r>
      <w:r w:rsidRPr="35864632">
        <w:rPr>
          <w:lang w:val="en-US"/>
        </w:rPr>
        <w:t xml:space="preserve"> including approval of any revisions</w:t>
      </w:r>
      <w:r w:rsidR="00AD543D" w:rsidRPr="35864632">
        <w:rPr>
          <w:lang w:val="en-US"/>
        </w:rPr>
        <w:t>,</w:t>
      </w:r>
      <w:r w:rsidRPr="35864632">
        <w:rPr>
          <w:lang w:val="en-US"/>
        </w:rPr>
        <w:t xml:space="preserve"> should be </w:t>
      </w:r>
      <w:r w:rsidRPr="00EE76D0">
        <w:rPr>
          <w:b/>
          <w:bCs/>
          <w:lang w:val="en-US"/>
        </w:rPr>
        <w:t>completed by 12 months</w:t>
      </w:r>
      <w:r w:rsidRPr="35864632">
        <w:rPr>
          <w:lang w:val="en-US"/>
        </w:rPr>
        <w:t xml:space="preserve"> of full-time registration with the </w:t>
      </w:r>
      <w:r w:rsidRPr="00EE76D0">
        <w:rPr>
          <w:b/>
          <w:bCs/>
          <w:lang w:val="en-US"/>
        </w:rPr>
        <w:t>upgrade report deadline at 9 months</w:t>
      </w:r>
      <w:r w:rsidR="00F85DF1" w:rsidRPr="35864632">
        <w:rPr>
          <w:lang w:val="en-US"/>
        </w:rPr>
        <w:t xml:space="preserve"> (</w:t>
      </w:r>
      <w:r w:rsidRPr="35864632">
        <w:rPr>
          <w:lang w:val="en-US"/>
        </w:rPr>
        <w:t>pro-rata for part-time students</w:t>
      </w:r>
      <w:r w:rsidR="00F85DF1" w:rsidRPr="35864632">
        <w:rPr>
          <w:lang w:val="en-US"/>
        </w:rPr>
        <w:t>)</w:t>
      </w:r>
      <w:r w:rsidRPr="35864632">
        <w:rPr>
          <w:lang w:val="en-US"/>
        </w:rPr>
        <w:t xml:space="preserve">. </w:t>
      </w:r>
    </w:p>
    <w:p w14:paraId="12C8B3F9" w14:textId="0275747C" w:rsidR="00E840A0" w:rsidRPr="00906392" w:rsidRDefault="00812D24" w:rsidP="00C662E8">
      <w:pPr>
        <w:pStyle w:val="ListParagraph"/>
        <w:numPr>
          <w:ilvl w:val="1"/>
          <w:numId w:val="1"/>
        </w:numPr>
        <w:spacing w:before="240"/>
        <w:jc w:val="both"/>
        <w:rPr>
          <w:lang w:val="en-US"/>
        </w:rPr>
      </w:pPr>
      <w:r w:rsidRPr="00906392">
        <w:rPr>
          <w:lang w:val="en-US"/>
        </w:rPr>
        <w:t xml:space="preserve">PGR Support will notify </w:t>
      </w:r>
      <w:r w:rsidR="00AA17E3">
        <w:rPr>
          <w:lang w:val="en-US"/>
        </w:rPr>
        <w:t>you</w:t>
      </w:r>
      <w:r w:rsidRPr="00906392">
        <w:rPr>
          <w:lang w:val="en-US"/>
        </w:rPr>
        <w:t xml:space="preserve"> and </w:t>
      </w:r>
      <w:r w:rsidR="00AA17E3">
        <w:rPr>
          <w:lang w:val="en-US"/>
        </w:rPr>
        <w:t xml:space="preserve">your </w:t>
      </w:r>
      <w:r w:rsidRPr="00906392">
        <w:rPr>
          <w:lang w:val="en-US"/>
        </w:rPr>
        <w:t xml:space="preserve">lead supervisor of the upgrade deadline </w:t>
      </w:r>
      <w:r w:rsidR="00170B85" w:rsidRPr="00906392">
        <w:rPr>
          <w:lang w:val="en-US"/>
        </w:rPr>
        <w:t>on</w:t>
      </w:r>
      <w:r w:rsidRPr="00906392">
        <w:rPr>
          <w:lang w:val="en-US"/>
        </w:rPr>
        <w:t xml:space="preserve"> entry </w:t>
      </w:r>
      <w:r w:rsidR="2186A9B9" w:rsidRPr="154C2F46">
        <w:rPr>
          <w:lang w:val="en-US"/>
        </w:rPr>
        <w:t xml:space="preserve">to the </w:t>
      </w:r>
      <w:proofErr w:type="spellStart"/>
      <w:r w:rsidR="2186A9B9" w:rsidRPr="154C2F46">
        <w:rPr>
          <w:lang w:val="en-US"/>
        </w:rPr>
        <w:t>programme</w:t>
      </w:r>
      <w:proofErr w:type="spellEnd"/>
      <w:r w:rsidR="2186A9B9" w:rsidRPr="154C2F46">
        <w:rPr>
          <w:lang w:val="en-US"/>
        </w:rPr>
        <w:t xml:space="preserve"> </w:t>
      </w:r>
      <w:r w:rsidRPr="00906392">
        <w:rPr>
          <w:lang w:val="en-US"/>
        </w:rPr>
        <w:t xml:space="preserve">and </w:t>
      </w:r>
      <w:r w:rsidR="008A6412">
        <w:rPr>
          <w:lang w:val="en-US"/>
        </w:rPr>
        <w:t xml:space="preserve">will </w:t>
      </w:r>
      <w:r w:rsidRPr="00906392">
        <w:rPr>
          <w:lang w:val="en-US"/>
        </w:rPr>
        <w:t xml:space="preserve">send a reminder approximately 6-8 </w:t>
      </w:r>
      <w:proofErr w:type="gramStart"/>
      <w:r w:rsidRPr="154C2F46">
        <w:rPr>
          <w:lang w:val="en-US"/>
        </w:rPr>
        <w:t>weeks</w:t>
      </w:r>
      <w:r w:rsidR="004DBDE3" w:rsidRPr="154C2F46">
        <w:rPr>
          <w:lang w:val="en-US"/>
        </w:rPr>
        <w:t>’</w:t>
      </w:r>
      <w:proofErr w:type="gramEnd"/>
      <w:r w:rsidRPr="00906392">
        <w:rPr>
          <w:lang w:val="en-US"/>
        </w:rPr>
        <w:t xml:space="preserve"> before the deadline. </w:t>
      </w:r>
    </w:p>
    <w:p w14:paraId="387C05BF" w14:textId="6F0269AC" w:rsidR="006D0BCC" w:rsidRPr="005B2FBE" w:rsidRDefault="00AA17E3" w:rsidP="00865E2A">
      <w:pPr>
        <w:pStyle w:val="ListParagraph"/>
        <w:numPr>
          <w:ilvl w:val="1"/>
          <w:numId w:val="1"/>
        </w:numPr>
        <w:spacing w:before="240"/>
        <w:jc w:val="both"/>
        <w:rPr>
          <w:lang w:val="en-US"/>
        </w:rPr>
      </w:pPr>
      <w:r>
        <w:rPr>
          <w:b/>
          <w:bCs/>
        </w:rPr>
        <w:t>If you have h</w:t>
      </w:r>
      <w:r w:rsidR="00E407BA" w:rsidRPr="35864632">
        <w:rPr>
          <w:b/>
          <w:bCs/>
        </w:rPr>
        <w:t xml:space="preserve">ealth and wellbeing challenges </w:t>
      </w:r>
      <w:r w:rsidR="00CB1822" w:rsidRPr="35864632">
        <w:rPr>
          <w:b/>
          <w:bCs/>
        </w:rPr>
        <w:t>and/</w:t>
      </w:r>
      <w:r w:rsidR="00E407BA" w:rsidRPr="35864632">
        <w:rPr>
          <w:b/>
          <w:bCs/>
        </w:rPr>
        <w:t>or specific learning and support needs</w:t>
      </w:r>
      <w:r w:rsidR="008A6412">
        <w:rPr>
          <w:b/>
          <w:bCs/>
        </w:rPr>
        <w:t>,</w:t>
      </w:r>
      <w:r w:rsidR="006D0BCC">
        <w:t xml:space="preserve"> </w:t>
      </w:r>
      <w:r>
        <w:t xml:space="preserve">you </w:t>
      </w:r>
      <w:r w:rsidR="006D0BCC">
        <w:t xml:space="preserve">should ensure any reasonable adjustments required </w:t>
      </w:r>
      <w:r w:rsidR="00E407BA">
        <w:t xml:space="preserve">for the upgrade assessment </w:t>
      </w:r>
      <w:r w:rsidR="006D0BCC">
        <w:t xml:space="preserve">are specified in </w:t>
      </w:r>
      <w:r>
        <w:t>your</w:t>
      </w:r>
      <w:r w:rsidR="006D0BCC">
        <w:t xml:space="preserve"> </w:t>
      </w:r>
      <w:r w:rsidR="4A48A2EE">
        <w:t>individual learning plan (</w:t>
      </w:r>
      <w:r w:rsidR="006D0BCC">
        <w:t>ILP</w:t>
      </w:r>
      <w:r w:rsidR="4B64469B">
        <w:t>)</w:t>
      </w:r>
      <w:r w:rsidR="006D0BCC">
        <w:t xml:space="preserve"> ahead of the</w:t>
      </w:r>
      <w:r w:rsidR="004E1ADF">
        <w:t xml:space="preserve"> upgrade document submission</w:t>
      </w:r>
      <w:r w:rsidR="006D0BCC">
        <w:t xml:space="preserve">. </w:t>
      </w:r>
      <w:r w:rsidR="00FA65B6">
        <w:t xml:space="preserve">Please see here for </w:t>
      </w:r>
      <w:hyperlink r:id="rId12" w:anchor="pgres">
        <w:r w:rsidR="00FA65B6" w:rsidRPr="00906392">
          <w:rPr>
            <w:rStyle w:val="Hyperlink"/>
          </w:rPr>
          <w:t>information on inclusive</w:t>
        </w:r>
        <w:r w:rsidR="00AC58FA" w:rsidRPr="00906392">
          <w:rPr>
            <w:rStyle w:val="Hyperlink"/>
          </w:rPr>
          <w:t xml:space="preserve"> practice in academic study: postgraduate research students</w:t>
        </w:r>
      </w:hyperlink>
      <w:r w:rsidR="00AC58FA" w:rsidRPr="00906392">
        <w:t>.</w:t>
      </w:r>
    </w:p>
    <w:p w14:paraId="4616FE33" w14:textId="4F904066" w:rsidR="005B2FBE" w:rsidRPr="00906392" w:rsidRDefault="005B2FBE" w:rsidP="00865E2A">
      <w:pPr>
        <w:pStyle w:val="ListParagraph"/>
        <w:numPr>
          <w:ilvl w:val="1"/>
          <w:numId w:val="1"/>
        </w:numPr>
        <w:spacing w:before="240"/>
        <w:jc w:val="both"/>
        <w:rPr>
          <w:lang w:val="en-US"/>
        </w:rPr>
      </w:pPr>
      <w:r w:rsidRPr="005B2FBE">
        <w:rPr>
          <w:b/>
          <w:lang w:val="en-US"/>
        </w:rPr>
        <w:t>Deferral:</w:t>
      </w:r>
      <w:r>
        <w:rPr>
          <w:lang w:val="en-US"/>
        </w:rPr>
        <w:t xml:space="preserve"> </w:t>
      </w:r>
      <w:r w:rsidRPr="005B2FBE">
        <w:t xml:space="preserve">In exceptional circumstances beyond </w:t>
      </w:r>
      <w:r w:rsidR="00AA17E3">
        <w:t>your</w:t>
      </w:r>
      <w:r w:rsidRPr="005B2FBE">
        <w:t xml:space="preserve"> control</w:t>
      </w:r>
      <w:r>
        <w:t>,</w:t>
      </w:r>
      <w:r w:rsidRPr="005B2FBE">
        <w:t xml:space="preserve"> applications for deferral to the deadline for transfer of registration may be made.</w:t>
      </w:r>
      <w:r>
        <w:t xml:space="preserve"> The postgraduate research handbook should be consulted for more information. </w:t>
      </w:r>
      <w:hyperlink r:id="rId13" w:anchor="Annex-1-Applications-for-deferral" w:history="1">
        <w:r w:rsidRPr="005B2FBE">
          <w:rPr>
            <w:rStyle w:val="Hyperlink"/>
          </w:rPr>
          <w:t>Applications for upgrade deferral</w:t>
        </w:r>
      </w:hyperlink>
      <w:r>
        <w:t>.</w:t>
      </w:r>
    </w:p>
    <w:p w14:paraId="2095FB4E" w14:textId="77777777" w:rsidR="00FF6EDB" w:rsidRPr="00906392" w:rsidRDefault="00FF6EDB" w:rsidP="00C662E8">
      <w:pPr>
        <w:pStyle w:val="ListParagraph"/>
        <w:ind w:left="1440"/>
        <w:jc w:val="both"/>
      </w:pPr>
    </w:p>
    <w:p w14:paraId="0ED92721" w14:textId="08743FAC" w:rsidR="00FF6EDB" w:rsidRPr="004F0519" w:rsidRDefault="005B2FBE" w:rsidP="004F0519">
      <w:pPr>
        <w:pStyle w:val="Heading2"/>
        <w:numPr>
          <w:ilvl w:val="0"/>
          <w:numId w:val="1"/>
        </w:numPr>
        <w:rPr>
          <w:b/>
          <w:bCs/>
        </w:rPr>
      </w:pPr>
      <w:bookmarkStart w:id="4" w:name="_Toc141101078"/>
      <w:r w:rsidRPr="004F0519">
        <w:rPr>
          <w:b/>
          <w:bCs/>
        </w:rPr>
        <w:t xml:space="preserve">HLS </w:t>
      </w:r>
      <w:r w:rsidR="00FF6EDB" w:rsidRPr="004F0519">
        <w:rPr>
          <w:b/>
          <w:bCs/>
        </w:rPr>
        <w:t>Upgrade documents:</w:t>
      </w:r>
      <w:bookmarkEnd w:id="4"/>
    </w:p>
    <w:p w14:paraId="2AFD3D09" w14:textId="0B2A9129" w:rsidR="0039312D" w:rsidRPr="0039312D" w:rsidRDefault="00AA17E3" w:rsidP="00C662E8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You</w:t>
      </w:r>
      <w:r w:rsidR="0039312D" w:rsidRPr="00906392">
        <w:rPr>
          <w:lang w:val="en-US"/>
        </w:rPr>
        <w:t xml:space="preserve"> </w:t>
      </w:r>
      <w:r w:rsidR="009203E3" w:rsidRPr="00906392">
        <w:rPr>
          <w:lang w:val="en-US"/>
        </w:rPr>
        <w:t>must produce</w:t>
      </w:r>
      <w:r w:rsidR="009203E3">
        <w:rPr>
          <w:lang w:val="en-US"/>
        </w:rPr>
        <w:t xml:space="preserve"> a report, </w:t>
      </w:r>
      <w:r w:rsidR="00906392" w:rsidRPr="00670647">
        <w:rPr>
          <w:b/>
          <w:bCs/>
          <w:lang w:val="en-US"/>
        </w:rPr>
        <w:t xml:space="preserve">not </w:t>
      </w:r>
      <w:r w:rsidR="009203E3" w:rsidRPr="00670647">
        <w:rPr>
          <w:b/>
          <w:bCs/>
          <w:lang w:val="en-US"/>
        </w:rPr>
        <w:t xml:space="preserve">exceeding </w:t>
      </w:r>
      <w:r w:rsidR="33DB852F" w:rsidRPr="00670647">
        <w:rPr>
          <w:b/>
          <w:bCs/>
          <w:lang w:val="en-US"/>
        </w:rPr>
        <w:t>3,5</w:t>
      </w:r>
      <w:r w:rsidR="009203E3" w:rsidRPr="00670647">
        <w:rPr>
          <w:b/>
          <w:bCs/>
          <w:lang w:val="en-US"/>
        </w:rPr>
        <w:t>00 words</w:t>
      </w:r>
      <w:r w:rsidR="009203E3" w:rsidRPr="419C2E26">
        <w:rPr>
          <w:lang w:val="en-US"/>
        </w:rPr>
        <w:t>,</w:t>
      </w:r>
      <w:r w:rsidR="009203E3">
        <w:rPr>
          <w:lang w:val="en-US"/>
        </w:rPr>
        <w:t xml:space="preserve"> </w:t>
      </w:r>
      <w:r w:rsidR="0039312D" w:rsidRPr="348E0209">
        <w:rPr>
          <w:lang w:val="en-US"/>
        </w:rPr>
        <w:t>excluding references</w:t>
      </w:r>
      <w:r w:rsidR="383F1702" w:rsidRPr="419C2E26">
        <w:rPr>
          <w:lang w:val="en-US"/>
        </w:rPr>
        <w:t xml:space="preserve"> </w:t>
      </w:r>
      <w:r w:rsidR="0039312D" w:rsidRPr="419C2E26">
        <w:rPr>
          <w:lang w:val="en-US"/>
        </w:rPr>
        <w:t>but including tables and figure legends</w:t>
      </w:r>
      <w:r w:rsidR="39F7B5B5" w:rsidRPr="419C2E26">
        <w:rPr>
          <w:lang w:val="en-US"/>
        </w:rPr>
        <w:t>, which should appear in-line within the text as opposed to at the end of the document</w:t>
      </w:r>
      <w:r w:rsidR="0039312D" w:rsidRPr="419C2E26">
        <w:rPr>
          <w:lang w:val="en-US"/>
        </w:rPr>
        <w:t>.</w:t>
      </w:r>
      <w:r w:rsidR="00441FEA" w:rsidRPr="348E0209">
        <w:rPr>
          <w:lang w:val="en-US"/>
        </w:rPr>
        <w:t xml:space="preserve"> The report should contain the following</w:t>
      </w:r>
      <w:r w:rsidR="009203E3">
        <w:rPr>
          <w:lang w:val="en-US"/>
        </w:rPr>
        <w:t xml:space="preserve"> headings</w:t>
      </w:r>
      <w:r w:rsidR="00441FEA" w:rsidRPr="348E0209">
        <w:rPr>
          <w:lang w:val="en-US"/>
        </w:rPr>
        <w:t>:</w:t>
      </w:r>
    </w:p>
    <w:p w14:paraId="3B806054" w14:textId="5B2EEDFD" w:rsidR="6876CD1C" w:rsidRDefault="6876CD1C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5864632">
        <w:rPr>
          <w:lang w:val="en-US"/>
        </w:rPr>
        <w:t>Background/introduction</w:t>
      </w:r>
    </w:p>
    <w:p w14:paraId="605CD787" w14:textId="13D786F7" w:rsidR="12FC6BB2" w:rsidRDefault="12FC6BB2" w:rsidP="5C2B54AE">
      <w:pPr>
        <w:pStyle w:val="ListParagraph"/>
        <w:numPr>
          <w:ilvl w:val="3"/>
          <w:numId w:val="1"/>
        </w:numPr>
        <w:jc w:val="both"/>
        <w:rPr>
          <w:lang w:val="en-US"/>
        </w:rPr>
      </w:pPr>
      <w:r w:rsidRPr="5C2B54AE">
        <w:rPr>
          <w:lang w:val="en-US"/>
        </w:rPr>
        <w:t>This section should include information o</w:t>
      </w:r>
      <w:r w:rsidR="5AAFE3CA" w:rsidRPr="5C2B54AE">
        <w:rPr>
          <w:lang w:val="en-US"/>
        </w:rPr>
        <w:t>n</w:t>
      </w:r>
      <w:r w:rsidRPr="5C2B54AE">
        <w:rPr>
          <w:lang w:val="en-US"/>
        </w:rPr>
        <w:t xml:space="preserve"> the originality and contribution to knowledge of the proposed work</w:t>
      </w:r>
      <w:r w:rsidR="009209EA">
        <w:rPr>
          <w:lang w:val="en-US"/>
        </w:rPr>
        <w:t>.</w:t>
      </w:r>
    </w:p>
    <w:p w14:paraId="4527128C" w14:textId="7BF47923" w:rsidR="1D0BEB81" w:rsidRDefault="202E056F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5C2B54AE">
        <w:rPr>
          <w:lang w:val="en-US"/>
        </w:rPr>
        <w:t>Aims/hypothesis</w:t>
      </w:r>
      <w:r w:rsidR="1D0BEB81" w:rsidRPr="5C2B54AE">
        <w:rPr>
          <w:lang w:val="en-US"/>
        </w:rPr>
        <w:t>.</w:t>
      </w:r>
    </w:p>
    <w:p w14:paraId="6B611B16" w14:textId="2AB88D44" w:rsidR="1D0BEB81" w:rsidRDefault="1D0BEB81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5864632">
        <w:rPr>
          <w:lang w:val="en-US"/>
        </w:rPr>
        <w:t xml:space="preserve">Proposed </w:t>
      </w:r>
      <w:r w:rsidR="0018050B">
        <w:rPr>
          <w:lang w:val="en-US"/>
        </w:rPr>
        <w:t>m</w:t>
      </w:r>
      <w:r w:rsidRPr="35864632">
        <w:rPr>
          <w:lang w:val="en-US"/>
        </w:rPr>
        <w:t>ethodology</w:t>
      </w:r>
      <w:r w:rsidR="0018050B">
        <w:rPr>
          <w:lang w:val="en-US"/>
        </w:rPr>
        <w:t>.</w:t>
      </w:r>
    </w:p>
    <w:p w14:paraId="23F87E73" w14:textId="7CE91F0E" w:rsidR="7780A17D" w:rsidRDefault="7780A17D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5864632">
        <w:rPr>
          <w:lang w:val="en-US"/>
        </w:rPr>
        <w:t>An outline of progress to date</w:t>
      </w:r>
      <w:r w:rsidR="00196324">
        <w:rPr>
          <w:lang w:val="en-US"/>
        </w:rPr>
        <w:t>,</w:t>
      </w:r>
      <w:r w:rsidRPr="35864632">
        <w:rPr>
          <w:lang w:val="en-US"/>
        </w:rPr>
        <w:t xml:space="preserve"> including any training.</w:t>
      </w:r>
    </w:p>
    <w:p w14:paraId="516566DB" w14:textId="2E940E21" w:rsidR="00B532AD" w:rsidRPr="00B532AD" w:rsidRDefault="00B532AD" w:rsidP="00C662E8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5864632">
        <w:rPr>
          <w:lang w:val="en-US"/>
        </w:rPr>
        <w:t>A</w:t>
      </w:r>
      <w:r w:rsidR="0039312D" w:rsidRPr="35864632">
        <w:rPr>
          <w:lang w:val="en-US"/>
        </w:rPr>
        <w:t xml:space="preserve"> plan</w:t>
      </w:r>
      <w:r w:rsidR="5F5A011B" w:rsidRPr="35864632">
        <w:rPr>
          <w:lang w:val="en-US"/>
        </w:rPr>
        <w:t xml:space="preserve"> and timeline</w:t>
      </w:r>
      <w:r w:rsidR="0039312D" w:rsidRPr="35864632">
        <w:rPr>
          <w:lang w:val="en-US"/>
        </w:rPr>
        <w:t xml:space="preserve"> for the proposed future work (including a Gantt chart)</w:t>
      </w:r>
      <w:r w:rsidRPr="35864632">
        <w:rPr>
          <w:lang w:val="en-US"/>
        </w:rPr>
        <w:t>.</w:t>
      </w:r>
      <w:r w:rsidR="0039312D" w:rsidRPr="35864632">
        <w:rPr>
          <w:lang w:val="en-US"/>
        </w:rPr>
        <w:t xml:space="preserve"> </w:t>
      </w:r>
    </w:p>
    <w:p w14:paraId="30C6536D" w14:textId="5DFC17D5" w:rsidR="478F5FDB" w:rsidRDefault="241BF606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23048B5">
        <w:rPr>
          <w:lang w:val="en-US"/>
        </w:rPr>
        <w:t>Risks and mitigation/alternative approaches</w:t>
      </w:r>
      <w:r w:rsidR="006353F3">
        <w:rPr>
          <w:lang w:val="en-US"/>
        </w:rPr>
        <w:t>.</w:t>
      </w:r>
    </w:p>
    <w:p w14:paraId="2F8DFEC1" w14:textId="01834E65" w:rsidR="478F5FDB" w:rsidRDefault="478F5FDB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5864632">
        <w:rPr>
          <w:lang w:val="en-US"/>
        </w:rPr>
        <w:t>References</w:t>
      </w:r>
    </w:p>
    <w:p w14:paraId="794E7178" w14:textId="58B5FEE6" w:rsidR="009203E3" w:rsidRDefault="478F5FDB" w:rsidP="7E871B60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48E0209">
        <w:rPr>
          <w:lang w:val="en-US"/>
        </w:rPr>
        <w:t>Appendix</w:t>
      </w:r>
      <w:r w:rsidR="009203E3">
        <w:rPr>
          <w:lang w:val="en-US"/>
        </w:rPr>
        <w:t xml:space="preserve"> (not to exceed 4-pages, 1cm margins</w:t>
      </w:r>
      <w:r w:rsidR="007F0FAE">
        <w:rPr>
          <w:lang w:val="en-US"/>
        </w:rPr>
        <w:t xml:space="preserve">, </w:t>
      </w:r>
      <w:r w:rsidR="00F12C6B">
        <w:rPr>
          <w:lang w:val="en-US"/>
        </w:rPr>
        <w:t>arial 11pt font, single spacing</w:t>
      </w:r>
      <w:r w:rsidR="009203E3">
        <w:rPr>
          <w:lang w:val="en-US"/>
        </w:rPr>
        <w:t xml:space="preserve">) – Example content </w:t>
      </w:r>
      <w:r w:rsidR="009203E3" w:rsidRPr="323048B5">
        <w:rPr>
          <w:lang w:val="en-US"/>
        </w:rPr>
        <w:t>include</w:t>
      </w:r>
      <w:r w:rsidR="4CB1E76D" w:rsidRPr="323048B5">
        <w:rPr>
          <w:lang w:val="en-US"/>
        </w:rPr>
        <w:t xml:space="preserve">s, but is not limited </w:t>
      </w:r>
      <w:r w:rsidR="009203E3">
        <w:rPr>
          <w:lang w:val="en-US"/>
        </w:rPr>
        <w:t>to:</w:t>
      </w:r>
    </w:p>
    <w:p w14:paraId="673D46C3" w14:textId="357ED6D9" w:rsidR="008C7C02" w:rsidRDefault="00347B06" w:rsidP="009203E3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>Indicative chapter structure for the</w:t>
      </w:r>
      <w:r w:rsidR="008C7C02">
        <w:rPr>
          <w:lang w:val="en-US"/>
        </w:rPr>
        <w:t xml:space="preserve"> thesis</w:t>
      </w:r>
    </w:p>
    <w:p w14:paraId="3612C432" w14:textId="55192757" w:rsidR="478F5FDB" w:rsidRDefault="009203E3" w:rsidP="009203E3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>Systematic review protocol</w:t>
      </w:r>
      <w:r w:rsidR="008C495E">
        <w:rPr>
          <w:lang w:val="en-US"/>
        </w:rPr>
        <w:t xml:space="preserve"> (where relevant)</w:t>
      </w:r>
    </w:p>
    <w:p w14:paraId="5B8334B7" w14:textId="39F1B045" w:rsidR="009203E3" w:rsidRDefault="009203E3" w:rsidP="009203E3">
      <w:pPr>
        <w:pStyle w:val="ListParagraph"/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>Conference abstracts</w:t>
      </w:r>
      <w:r w:rsidR="008C495E">
        <w:rPr>
          <w:lang w:val="en-US"/>
        </w:rPr>
        <w:t xml:space="preserve"> (where relevant)</w:t>
      </w:r>
    </w:p>
    <w:p w14:paraId="14FF36D0" w14:textId="3A42B852" w:rsidR="0023644E" w:rsidRPr="0023644E" w:rsidRDefault="00AA17E3" w:rsidP="00C662E8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You</w:t>
      </w:r>
      <w:r w:rsidR="00B50B90" w:rsidRPr="35864632">
        <w:rPr>
          <w:lang w:val="en-US"/>
        </w:rPr>
        <w:t xml:space="preserve"> must log into </w:t>
      </w:r>
      <w:hyperlink r:id="rId14" w:anchor="login/207/188">
        <w:proofErr w:type="spellStart"/>
        <w:r w:rsidR="00B50B90" w:rsidRPr="35864632">
          <w:rPr>
            <w:rStyle w:val="Hyperlink"/>
            <w:lang w:val="en-US"/>
          </w:rPr>
          <w:t>iExeter</w:t>
        </w:r>
        <w:proofErr w:type="spellEnd"/>
      </w:hyperlink>
      <w:r w:rsidR="00B50B90" w:rsidRPr="35864632">
        <w:rPr>
          <w:lang w:val="en-US"/>
        </w:rPr>
        <w:t xml:space="preserve"> and select the Student Record tab. Alongside the contact diary there is a link to ‘My upgrade’.</w:t>
      </w:r>
      <w:r w:rsidR="0023644E" w:rsidRPr="35864632">
        <w:rPr>
          <w:rFonts w:ascii="Arial" w:hAnsi="Arial" w:cs="Arial"/>
          <w:lang w:val="en-US"/>
        </w:rPr>
        <w:t xml:space="preserve"> </w:t>
      </w:r>
      <w:r w:rsidR="00465B51">
        <w:rPr>
          <w:lang w:val="en-US"/>
        </w:rPr>
        <w:t>You</w:t>
      </w:r>
      <w:r w:rsidR="00293A58" w:rsidRPr="35864632">
        <w:rPr>
          <w:lang w:val="en-US"/>
        </w:rPr>
        <w:t xml:space="preserve"> </w:t>
      </w:r>
      <w:r w:rsidR="00293A58">
        <w:rPr>
          <w:lang w:val="en-US"/>
        </w:rPr>
        <w:t xml:space="preserve">should </w:t>
      </w:r>
      <w:r w:rsidR="00293A58" w:rsidRPr="35864632">
        <w:rPr>
          <w:lang w:val="en-US"/>
        </w:rPr>
        <w:t>upload</w:t>
      </w:r>
      <w:r w:rsidR="0023644E" w:rsidRPr="35864632">
        <w:rPr>
          <w:lang w:val="en-US"/>
        </w:rPr>
        <w:t xml:space="preserve"> </w:t>
      </w:r>
      <w:r w:rsidR="00465B51">
        <w:rPr>
          <w:lang w:val="en-US"/>
        </w:rPr>
        <w:t>your</w:t>
      </w:r>
      <w:r w:rsidR="0023644E" w:rsidRPr="35864632">
        <w:rPr>
          <w:lang w:val="en-US"/>
        </w:rPr>
        <w:t xml:space="preserve"> report to </w:t>
      </w:r>
      <w:proofErr w:type="spellStart"/>
      <w:r w:rsidR="001B0D7D">
        <w:rPr>
          <w:lang w:val="en-US"/>
        </w:rPr>
        <w:t>m</w:t>
      </w:r>
      <w:r w:rsidR="0023644E" w:rsidRPr="35864632">
        <w:rPr>
          <w:lang w:val="en-US"/>
        </w:rPr>
        <w:t>yPGR</w:t>
      </w:r>
      <w:proofErr w:type="spellEnd"/>
      <w:r w:rsidR="0023644E" w:rsidRPr="35864632">
        <w:rPr>
          <w:lang w:val="en-US"/>
        </w:rPr>
        <w:t xml:space="preserve"> by the upgrade report deadline </w:t>
      </w:r>
      <w:r w:rsidR="00293A58">
        <w:rPr>
          <w:lang w:val="en-US"/>
        </w:rPr>
        <w:t>which can be found on</w:t>
      </w:r>
      <w:r w:rsidR="0023644E" w:rsidRPr="35864632">
        <w:rPr>
          <w:lang w:val="en-US"/>
        </w:rPr>
        <w:t xml:space="preserve"> </w:t>
      </w:r>
      <w:r w:rsidR="00A85CFB">
        <w:rPr>
          <w:lang w:val="en-US"/>
        </w:rPr>
        <w:t>that site</w:t>
      </w:r>
      <w:r w:rsidR="0023644E" w:rsidRPr="35864632">
        <w:rPr>
          <w:lang w:val="en-US"/>
        </w:rPr>
        <w:t>.</w:t>
      </w:r>
    </w:p>
    <w:p w14:paraId="70E72CB4" w14:textId="77777777" w:rsidR="003A4921" w:rsidRDefault="003A4921" w:rsidP="00C662E8">
      <w:pPr>
        <w:jc w:val="both"/>
      </w:pPr>
    </w:p>
    <w:p w14:paraId="0C9F79C4" w14:textId="0A613EA8" w:rsidR="0040793F" w:rsidRPr="00BC4AE0" w:rsidRDefault="005B2FBE" w:rsidP="00BC4AE0">
      <w:pPr>
        <w:pStyle w:val="Heading2"/>
        <w:numPr>
          <w:ilvl w:val="0"/>
          <w:numId w:val="1"/>
        </w:numPr>
        <w:rPr>
          <w:b/>
          <w:bCs/>
        </w:rPr>
      </w:pPr>
      <w:bookmarkStart w:id="5" w:name="_Toc141101079"/>
      <w:r w:rsidRPr="00BC4AE0">
        <w:rPr>
          <w:b/>
          <w:bCs/>
        </w:rPr>
        <w:t xml:space="preserve">HLS </w:t>
      </w:r>
      <w:r w:rsidR="00124751" w:rsidRPr="00BC4AE0">
        <w:rPr>
          <w:b/>
          <w:bCs/>
        </w:rPr>
        <w:t xml:space="preserve">Upgrade </w:t>
      </w:r>
      <w:r w:rsidR="00906392" w:rsidRPr="00BC4AE0">
        <w:rPr>
          <w:b/>
          <w:bCs/>
        </w:rPr>
        <w:t>committee</w:t>
      </w:r>
      <w:r w:rsidR="00124751" w:rsidRPr="00BC4AE0">
        <w:rPr>
          <w:b/>
          <w:bCs/>
        </w:rPr>
        <w:t>:</w:t>
      </w:r>
      <w:bookmarkEnd w:id="5"/>
    </w:p>
    <w:p w14:paraId="5D0F032F" w14:textId="2D3C88BA" w:rsidR="00C519A7" w:rsidRDefault="00A71E74" w:rsidP="00C662E8">
      <w:pPr>
        <w:pStyle w:val="ListParagraph"/>
        <w:numPr>
          <w:ilvl w:val="1"/>
          <w:numId w:val="1"/>
        </w:numPr>
        <w:spacing w:before="240"/>
        <w:jc w:val="both"/>
      </w:pPr>
      <w:r>
        <w:t>The PGR support team will email the lead supervisor 8-weeks before the upgr</w:t>
      </w:r>
      <w:r w:rsidR="008C7C02">
        <w:t>ade report deadline and request</w:t>
      </w:r>
      <w:r>
        <w:t xml:space="preserve"> the names of the upgrade committee members, </w:t>
      </w:r>
      <w:r w:rsidR="1BA05F2A">
        <w:t xml:space="preserve">but </w:t>
      </w:r>
      <w:r w:rsidR="008C7C02">
        <w:t xml:space="preserve">the lead supervisor </w:t>
      </w:r>
      <w:r w:rsidR="1BA05F2A">
        <w:t xml:space="preserve">is expected to have sought </w:t>
      </w:r>
      <w:r>
        <w:t xml:space="preserve">informal </w:t>
      </w:r>
      <w:r w:rsidR="1BA05F2A">
        <w:t>agreement from the</w:t>
      </w:r>
      <w:r>
        <w:t xml:space="preserve"> examiners ahead of formal nomination</w:t>
      </w:r>
      <w:r w:rsidR="00BC4AE0">
        <w:t>.</w:t>
      </w:r>
      <w:r>
        <w:t xml:space="preserve"> </w:t>
      </w:r>
    </w:p>
    <w:p w14:paraId="499C2C04" w14:textId="6D828CE1" w:rsidR="001E7643" w:rsidRPr="00C519A7" w:rsidRDefault="00A71E74" w:rsidP="00BF28BD">
      <w:pPr>
        <w:pStyle w:val="ListParagraph"/>
        <w:numPr>
          <w:ilvl w:val="1"/>
          <w:numId w:val="1"/>
        </w:numPr>
        <w:spacing w:before="240"/>
        <w:jc w:val="both"/>
      </w:pPr>
      <w:bookmarkStart w:id="6" w:name="_Hlk112923009"/>
      <w:r>
        <w:t xml:space="preserve">The PGR support team liaises </w:t>
      </w:r>
      <w:bookmarkEnd w:id="6"/>
      <w:r>
        <w:t>with the relevant Department</w:t>
      </w:r>
      <w:r w:rsidR="001E7643">
        <w:t xml:space="preserve"> Director</w:t>
      </w:r>
      <w:r>
        <w:t>(s)</w:t>
      </w:r>
      <w:r w:rsidR="001E7643">
        <w:t xml:space="preserve"> of PGR for </w:t>
      </w:r>
      <w:r w:rsidR="009F7EA7">
        <w:t>your</w:t>
      </w:r>
      <w:r w:rsidR="001E7643">
        <w:t xml:space="preserve"> home department</w:t>
      </w:r>
      <w:r>
        <w:t>, confirming</w:t>
      </w:r>
      <w:r w:rsidR="001E7643">
        <w:t xml:space="preserve"> the eligibility and suitability of the</w:t>
      </w:r>
      <w:r w:rsidR="00D10D79">
        <w:t xml:space="preserve"> </w:t>
      </w:r>
      <w:r w:rsidR="0030705F">
        <w:t xml:space="preserve">upgrade </w:t>
      </w:r>
      <w:r>
        <w:t>committee</w:t>
      </w:r>
      <w:r w:rsidR="0030705F">
        <w:t xml:space="preserve"> and </w:t>
      </w:r>
      <w:r>
        <w:t xml:space="preserve">once confirmed shares the upgrade guidance documents with the </w:t>
      </w:r>
      <w:r w:rsidR="008C7C02">
        <w:t>examiners</w:t>
      </w:r>
      <w:r w:rsidR="00D10D79">
        <w:t>.</w:t>
      </w:r>
    </w:p>
    <w:p w14:paraId="23F9F7A5" w14:textId="16AFC794" w:rsidR="0040793F" w:rsidRDefault="009F7EA7" w:rsidP="00C662E8">
      <w:pPr>
        <w:pStyle w:val="ListParagraph"/>
        <w:numPr>
          <w:ilvl w:val="1"/>
          <w:numId w:val="1"/>
        </w:numPr>
        <w:spacing w:before="240"/>
        <w:jc w:val="both"/>
      </w:pPr>
      <w:r>
        <w:t>You will</w:t>
      </w:r>
      <w:r w:rsidR="00C03748">
        <w:t xml:space="preserve"> be examined by two academic staff members</w:t>
      </w:r>
      <w:r w:rsidR="008C7C02">
        <w:t xml:space="preserve"> from the University of Exeter</w:t>
      </w:r>
      <w:r>
        <w:t xml:space="preserve"> </w:t>
      </w:r>
      <w:r w:rsidR="00E47F88">
        <w:t xml:space="preserve">who have suitable </w:t>
      </w:r>
      <w:r w:rsidR="00C03748">
        <w:t xml:space="preserve">experience and expertise related to </w:t>
      </w:r>
      <w:r>
        <w:t>your</w:t>
      </w:r>
      <w:r w:rsidR="00C03748">
        <w:t xml:space="preserve"> </w:t>
      </w:r>
      <w:r w:rsidR="00C519A7">
        <w:t xml:space="preserve">programme of </w:t>
      </w:r>
      <w:r w:rsidR="00C03748">
        <w:t>work.</w:t>
      </w:r>
      <w:r w:rsidR="008C7C02">
        <w:t xml:space="preserve"> </w:t>
      </w:r>
    </w:p>
    <w:p w14:paraId="486F1890" w14:textId="77777777" w:rsidR="002069CC" w:rsidRDefault="002069CC" w:rsidP="00C662E8">
      <w:pPr>
        <w:jc w:val="both"/>
        <w:rPr>
          <w:b/>
        </w:rPr>
      </w:pPr>
    </w:p>
    <w:p w14:paraId="10AB0F0B" w14:textId="3E36DFCA" w:rsidR="00124751" w:rsidRPr="00BC4AE0" w:rsidRDefault="00124751" w:rsidP="00BC4AE0">
      <w:pPr>
        <w:pStyle w:val="Heading2"/>
        <w:numPr>
          <w:ilvl w:val="0"/>
          <w:numId w:val="1"/>
        </w:numPr>
        <w:rPr>
          <w:b/>
          <w:bCs/>
        </w:rPr>
      </w:pPr>
      <w:bookmarkStart w:id="7" w:name="_Toc141101080"/>
      <w:r w:rsidRPr="00BC4AE0">
        <w:rPr>
          <w:b/>
          <w:bCs/>
        </w:rPr>
        <w:t>Upgrade examination:</w:t>
      </w:r>
      <w:bookmarkEnd w:id="7"/>
    </w:p>
    <w:p w14:paraId="0D6CC1D6" w14:textId="77777777" w:rsidR="00793A4C" w:rsidRPr="00793A4C" w:rsidRDefault="00793A4C" w:rsidP="00C662E8">
      <w:pPr>
        <w:pStyle w:val="ListParagraph"/>
        <w:jc w:val="both"/>
        <w:rPr>
          <w:b/>
        </w:rPr>
      </w:pPr>
    </w:p>
    <w:p w14:paraId="10C2E451" w14:textId="1916A2E5" w:rsidR="00262E36" w:rsidRPr="00C275A5" w:rsidRDefault="008C7C02" w:rsidP="00C662E8">
      <w:pPr>
        <w:pStyle w:val="ListParagraph"/>
        <w:numPr>
          <w:ilvl w:val="1"/>
          <w:numId w:val="1"/>
        </w:numPr>
        <w:jc w:val="both"/>
        <w:rPr>
          <w:b/>
        </w:rPr>
      </w:pPr>
      <w:bookmarkStart w:id="8" w:name="_Toc141101081"/>
      <w:r w:rsidRPr="00FF439F">
        <w:rPr>
          <w:rStyle w:val="Heading3Char"/>
          <w:b/>
          <w:bCs/>
        </w:rPr>
        <w:t xml:space="preserve">HLS </w:t>
      </w:r>
      <w:r w:rsidR="00E06CD3" w:rsidRPr="00FF439F">
        <w:rPr>
          <w:rStyle w:val="Heading3Char"/>
          <w:b/>
          <w:bCs/>
        </w:rPr>
        <w:t>Upgrade a</w:t>
      </w:r>
      <w:r w:rsidR="00262E36" w:rsidRPr="00FF439F">
        <w:rPr>
          <w:rStyle w:val="Heading3Char"/>
          <w:b/>
          <w:bCs/>
        </w:rPr>
        <w:t xml:space="preserve">ssessment </w:t>
      </w:r>
      <w:r w:rsidR="00D5553F" w:rsidRPr="00FF439F">
        <w:rPr>
          <w:rStyle w:val="Heading3Char"/>
          <w:b/>
          <w:bCs/>
        </w:rPr>
        <w:t>guidelines</w:t>
      </w:r>
      <w:bookmarkEnd w:id="8"/>
      <w:r w:rsidR="00D5553F" w:rsidRPr="007E08D7">
        <w:t>:</w:t>
      </w:r>
      <w:r w:rsidR="00EE4B18" w:rsidRPr="35864632">
        <w:rPr>
          <w:b/>
          <w:bCs/>
        </w:rPr>
        <w:t xml:space="preserve"> </w:t>
      </w:r>
      <w:r w:rsidR="00EE4B18">
        <w:t xml:space="preserve">These </w:t>
      </w:r>
      <w:r w:rsidR="00144715">
        <w:t xml:space="preserve">reflect the </w:t>
      </w:r>
      <w:hyperlink r:id="rId15" w:anchor="collapseTwentynine">
        <w:r w:rsidR="00144715" w:rsidRPr="35864632">
          <w:rPr>
            <w:rStyle w:val="Hyperlink"/>
          </w:rPr>
          <w:t>PhD level assessment criteria</w:t>
        </w:r>
      </w:hyperlink>
      <w:r w:rsidR="00144715">
        <w:t xml:space="preserve"> as outlined in the TQA manual, and </w:t>
      </w:r>
      <w:r w:rsidR="001367E2">
        <w:t xml:space="preserve">have been adapted </w:t>
      </w:r>
      <w:r w:rsidR="00B334A1">
        <w:t>for the stage in the programme</w:t>
      </w:r>
      <w:r w:rsidR="00D56949">
        <w:t>:</w:t>
      </w:r>
    </w:p>
    <w:p w14:paraId="334376CE" w14:textId="6E239E39" w:rsidR="00C275A5" w:rsidRPr="00185882" w:rsidRDefault="004E3B0C" w:rsidP="00C275A5">
      <w:pPr>
        <w:pStyle w:val="ListParagraph"/>
        <w:numPr>
          <w:ilvl w:val="2"/>
          <w:numId w:val="1"/>
        </w:numPr>
        <w:jc w:val="both"/>
        <w:rPr>
          <w:bCs/>
        </w:rPr>
      </w:pPr>
      <w:r w:rsidRPr="35864632">
        <w:rPr>
          <w:b/>
          <w:bCs/>
        </w:rPr>
        <w:t>P</w:t>
      </w:r>
      <w:r w:rsidR="00211F63" w:rsidRPr="35864632">
        <w:rPr>
          <w:b/>
          <w:bCs/>
        </w:rPr>
        <w:t>otential</w:t>
      </w:r>
      <w:r w:rsidR="00211F63">
        <w:t xml:space="preserve"> for</w:t>
      </w:r>
      <w:r w:rsidR="009F064B">
        <w:t xml:space="preserve"> creation and interpretation of new knowledge, through original research or other advanced scholarship, of a quality to satisfy peer review, extend the forefront of the discipline, and merit publication</w:t>
      </w:r>
      <w:r w:rsidR="00185882">
        <w:t>.</w:t>
      </w:r>
    </w:p>
    <w:p w14:paraId="1CFAFFFB" w14:textId="39DF20AC" w:rsidR="009F064B" w:rsidRPr="00185882" w:rsidRDefault="004E3B0C" w:rsidP="00C275A5">
      <w:pPr>
        <w:pStyle w:val="ListParagraph"/>
        <w:numPr>
          <w:ilvl w:val="2"/>
          <w:numId w:val="1"/>
        </w:numPr>
        <w:jc w:val="both"/>
        <w:rPr>
          <w:bCs/>
        </w:rPr>
      </w:pPr>
      <w:r>
        <w:t xml:space="preserve">Evidence of the </w:t>
      </w:r>
      <w:r w:rsidRPr="35864632">
        <w:rPr>
          <w:b/>
          <w:bCs/>
        </w:rPr>
        <w:t>beginning</w:t>
      </w:r>
      <w:r>
        <w:t xml:space="preserve"> of a</w:t>
      </w:r>
      <w:r w:rsidR="009F064B">
        <w:t xml:space="preserve"> systematic acquisition and understanding of a </w:t>
      </w:r>
      <w:r w:rsidR="00BC0F90">
        <w:t xml:space="preserve">body </w:t>
      </w:r>
      <w:r w:rsidR="009F064B">
        <w:t>knowledge which is at the forefront of an academic discipline or area of professional practice</w:t>
      </w:r>
      <w:r w:rsidR="00B4268B">
        <w:t xml:space="preserve"> and </w:t>
      </w:r>
      <w:r w:rsidR="008540A4" w:rsidRPr="00B015D8">
        <w:rPr>
          <w:b/>
          <w:bCs/>
        </w:rPr>
        <w:t xml:space="preserve">evidence of </w:t>
      </w:r>
      <w:r w:rsidR="15F72D44" w:rsidRPr="154C2F46">
        <w:rPr>
          <w:b/>
          <w:bCs/>
        </w:rPr>
        <w:t xml:space="preserve">a </w:t>
      </w:r>
      <w:r w:rsidR="002629AB" w:rsidRPr="00B015D8">
        <w:rPr>
          <w:b/>
          <w:bCs/>
        </w:rPr>
        <w:t>clear</w:t>
      </w:r>
      <w:r w:rsidR="008540A4" w:rsidRPr="00B015D8">
        <w:rPr>
          <w:b/>
          <w:bCs/>
        </w:rPr>
        <w:t xml:space="preserve"> </w:t>
      </w:r>
      <w:r w:rsidR="00B4268B" w:rsidRPr="00B015D8">
        <w:rPr>
          <w:b/>
          <w:bCs/>
        </w:rPr>
        <w:t>plan to</w:t>
      </w:r>
      <w:r w:rsidR="008540A4" w:rsidRPr="00B015D8">
        <w:rPr>
          <w:b/>
          <w:bCs/>
        </w:rPr>
        <w:t xml:space="preserve"> extend thi</w:t>
      </w:r>
      <w:r w:rsidR="003766AC" w:rsidRPr="00B015D8">
        <w:rPr>
          <w:b/>
          <w:bCs/>
        </w:rPr>
        <w:t>s</w:t>
      </w:r>
      <w:r w:rsidR="00185882">
        <w:t>.</w:t>
      </w:r>
    </w:p>
    <w:p w14:paraId="75773BE9" w14:textId="77777777" w:rsidR="00AD7BCC" w:rsidRDefault="00A64AFC" w:rsidP="00C275A5">
      <w:pPr>
        <w:pStyle w:val="ListParagraph"/>
        <w:numPr>
          <w:ilvl w:val="2"/>
          <w:numId w:val="1"/>
        </w:numPr>
        <w:jc w:val="both"/>
        <w:rPr>
          <w:bCs/>
        </w:rPr>
      </w:pPr>
      <w:r>
        <w:t xml:space="preserve">Evidence of </w:t>
      </w:r>
      <w:r w:rsidR="00C105CE" w:rsidRPr="00F07B1B">
        <w:t>a</w:t>
      </w:r>
      <w:r w:rsidR="00C105CE" w:rsidRPr="35864632">
        <w:rPr>
          <w:b/>
          <w:bCs/>
        </w:rPr>
        <w:t xml:space="preserve"> developing</w:t>
      </w:r>
      <w:r w:rsidR="00C105CE">
        <w:t xml:space="preserve"> </w:t>
      </w:r>
      <w:r>
        <w:t>a</w:t>
      </w:r>
      <w:r w:rsidR="009F064B">
        <w:t>bility to conceptualise, design and implement a project for the generation of new knowledge, application or understanding at the forefront of the discipline</w:t>
      </w:r>
      <w:r w:rsidR="00AD7BCC">
        <w:t>.</w:t>
      </w:r>
    </w:p>
    <w:p w14:paraId="59A011F9" w14:textId="5A3C3C84" w:rsidR="009F064B" w:rsidRPr="00185882" w:rsidRDefault="00AD7BCC" w:rsidP="00C275A5">
      <w:pPr>
        <w:pStyle w:val="ListParagraph"/>
        <w:numPr>
          <w:ilvl w:val="2"/>
          <w:numId w:val="1"/>
        </w:numPr>
        <w:jc w:val="both"/>
        <w:rPr>
          <w:bCs/>
        </w:rPr>
      </w:pPr>
      <w:r w:rsidRPr="35864632">
        <w:rPr>
          <w:b/>
          <w:bCs/>
        </w:rPr>
        <w:t>R</w:t>
      </w:r>
      <w:r w:rsidR="00147A62" w:rsidRPr="35864632">
        <w:rPr>
          <w:b/>
          <w:bCs/>
        </w:rPr>
        <w:t>ecognition of potential challenges</w:t>
      </w:r>
      <w:r w:rsidR="00820FEE" w:rsidRPr="35864632">
        <w:rPr>
          <w:b/>
          <w:bCs/>
        </w:rPr>
        <w:t xml:space="preserve"> within the proposal project</w:t>
      </w:r>
      <w:r w:rsidR="00147A62" w:rsidRPr="35864632">
        <w:rPr>
          <w:b/>
          <w:bCs/>
        </w:rPr>
        <w:t xml:space="preserve"> </w:t>
      </w:r>
      <w:r w:rsidR="00147A62" w:rsidRPr="00F07B1B">
        <w:t>and</w:t>
      </w:r>
      <w:r w:rsidR="00147A62">
        <w:t xml:space="preserve"> </w:t>
      </w:r>
      <w:r w:rsidR="00A64AFC" w:rsidRPr="00F07B1B">
        <w:t xml:space="preserve">consideration </w:t>
      </w:r>
      <w:r w:rsidR="00A64AFC">
        <w:t>of how to handle</w:t>
      </w:r>
      <w:r w:rsidR="009F064B">
        <w:t xml:space="preserve"> unforeseen problems</w:t>
      </w:r>
      <w:r w:rsidR="00185882">
        <w:t>.</w:t>
      </w:r>
    </w:p>
    <w:p w14:paraId="304AEB99" w14:textId="265A68C9" w:rsidR="009F064B" w:rsidRPr="00185882" w:rsidRDefault="00C90715" w:rsidP="00C275A5">
      <w:pPr>
        <w:pStyle w:val="ListParagraph"/>
        <w:numPr>
          <w:ilvl w:val="2"/>
          <w:numId w:val="1"/>
        </w:numPr>
        <w:jc w:val="both"/>
        <w:rPr>
          <w:bCs/>
        </w:rPr>
      </w:pPr>
      <w:r>
        <w:t xml:space="preserve">An </w:t>
      </w:r>
      <w:r w:rsidRPr="35864632">
        <w:rPr>
          <w:b/>
          <w:bCs/>
        </w:rPr>
        <w:t>emerging</w:t>
      </w:r>
      <w:r w:rsidR="00947625">
        <w:t xml:space="preserve"> understanding of applicable techniques and advanced academic enquiry</w:t>
      </w:r>
      <w:r>
        <w:t xml:space="preserve"> and </w:t>
      </w:r>
      <w:r w:rsidRPr="35864632">
        <w:rPr>
          <w:b/>
          <w:bCs/>
        </w:rPr>
        <w:t>the training they require to reach an advanced level</w:t>
      </w:r>
      <w:r w:rsidR="00185882">
        <w:t>.</w:t>
      </w:r>
    </w:p>
    <w:p w14:paraId="6F005CA9" w14:textId="4A4FD848" w:rsidR="00947625" w:rsidRDefault="00C90715" w:rsidP="7E871B60">
      <w:pPr>
        <w:pStyle w:val="ListParagraph"/>
        <w:numPr>
          <w:ilvl w:val="2"/>
          <w:numId w:val="1"/>
        </w:numPr>
        <w:jc w:val="both"/>
      </w:pPr>
      <w:r>
        <w:t>A</w:t>
      </w:r>
      <w:r w:rsidR="00947625">
        <w:t xml:space="preserve"> satisfactory level of literary presentation.</w:t>
      </w:r>
    </w:p>
    <w:p w14:paraId="519FA777" w14:textId="2413D0EC" w:rsidR="27C12C8B" w:rsidRDefault="27C12C8B" w:rsidP="7E871B60">
      <w:pPr>
        <w:jc w:val="both"/>
        <w:rPr>
          <w:i/>
          <w:iCs/>
        </w:rPr>
      </w:pPr>
      <w:r w:rsidRPr="7E871B60">
        <w:rPr>
          <w:i/>
          <w:iCs/>
        </w:rPr>
        <w:t>These criteria will be assessed through a combination of the written upgrade report, oral presentation, and upgrade viva</w:t>
      </w:r>
      <w:r w:rsidR="007F1ABA">
        <w:rPr>
          <w:i/>
          <w:iCs/>
        </w:rPr>
        <w:t xml:space="preserve"> (oral examination)</w:t>
      </w:r>
      <w:r w:rsidRPr="7E871B60">
        <w:rPr>
          <w:i/>
          <w:iCs/>
        </w:rPr>
        <w:t>.</w:t>
      </w:r>
    </w:p>
    <w:p w14:paraId="222DEB30" w14:textId="22405FA9" w:rsidR="27C12C8B" w:rsidRPr="00FF439F" w:rsidRDefault="27C12C8B" w:rsidP="7E871B6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bookmarkStart w:id="9" w:name="_Toc141101082"/>
      <w:r w:rsidRPr="00FF439F">
        <w:rPr>
          <w:rStyle w:val="Heading3Char"/>
          <w:b/>
          <w:bCs/>
        </w:rPr>
        <w:t>Upgrade marking criteria</w:t>
      </w:r>
      <w:r w:rsidR="00A81931" w:rsidRPr="00FF439F">
        <w:rPr>
          <w:rStyle w:val="Heading3Char"/>
          <w:b/>
          <w:bCs/>
        </w:rPr>
        <w:t xml:space="preserve"> (complete</w:t>
      </w:r>
      <w:r w:rsidR="00F73919">
        <w:rPr>
          <w:rStyle w:val="Heading3Char"/>
          <w:b/>
          <w:bCs/>
        </w:rPr>
        <w:t>d</w:t>
      </w:r>
      <w:r w:rsidR="00A81931" w:rsidRPr="00FF439F">
        <w:rPr>
          <w:rStyle w:val="Heading3Char"/>
          <w:b/>
          <w:bCs/>
        </w:rPr>
        <w:t xml:space="preserve"> via </w:t>
      </w:r>
      <w:proofErr w:type="spellStart"/>
      <w:r w:rsidR="00A81931" w:rsidRPr="00FF439F">
        <w:rPr>
          <w:rStyle w:val="Heading3Char"/>
          <w:b/>
          <w:bCs/>
        </w:rPr>
        <w:t>myPGR</w:t>
      </w:r>
      <w:proofErr w:type="spellEnd"/>
      <w:r w:rsidR="00A81931" w:rsidRPr="00FF439F">
        <w:rPr>
          <w:rStyle w:val="Heading3Char"/>
          <w:b/>
          <w:bCs/>
        </w:rPr>
        <w:t>)</w:t>
      </w:r>
      <w:bookmarkEnd w:id="9"/>
      <w:r w:rsidRPr="00FF439F">
        <w:rPr>
          <w:b/>
          <w:bCs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50"/>
        <w:gridCol w:w="1732"/>
        <w:gridCol w:w="1417"/>
        <w:gridCol w:w="1414"/>
        <w:gridCol w:w="1522"/>
      </w:tblGrid>
      <w:tr w:rsidR="7E871B60" w14:paraId="5842EB10" w14:textId="77777777" w:rsidTr="0062394C">
        <w:trPr>
          <w:trHeight w:val="300"/>
        </w:trPr>
        <w:tc>
          <w:tcPr>
            <w:tcW w:w="3650" w:type="dxa"/>
          </w:tcPr>
          <w:p w14:paraId="52CE8F5F" w14:textId="16F1E8DE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14:paraId="62172D61" w14:textId="1D943B29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Unsatisfactory</w:t>
            </w:r>
          </w:p>
        </w:tc>
        <w:tc>
          <w:tcPr>
            <w:tcW w:w="1417" w:type="dxa"/>
          </w:tcPr>
          <w:p w14:paraId="561BCA2B" w14:textId="18E7687F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Satisfactory</w:t>
            </w:r>
          </w:p>
        </w:tc>
        <w:tc>
          <w:tcPr>
            <w:tcW w:w="1414" w:type="dxa"/>
          </w:tcPr>
          <w:p w14:paraId="0DD7DC47" w14:textId="2BF4728D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Good</w:t>
            </w:r>
          </w:p>
        </w:tc>
        <w:tc>
          <w:tcPr>
            <w:tcW w:w="1522" w:type="dxa"/>
          </w:tcPr>
          <w:p w14:paraId="3EB403CB" w14:textId="3A9A0F80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Excellent</w:t>
            </w:r>
          </w:p>
        </w:tc>
      </w:tr>
      <w:tr w:rsidR="7E871B60" w14:paraId="3C28F952" w14:textId="77777777" w:rsidTr="0062394C">
        <w:trPr>
          <w:trHeight w:val="300"/>
        </w:trPr>
        <w:tc>
          <w:tcPr>
            <w:tcW w:w="3650" w:type="dxa"/>
          </w:tcPr>
          <w:p w14:paraId="48EBA0F7" w14:textId="07542454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Context/background to the research</w:t>
            </w:r>
          </w:p>
        </w:tc>
        <w:tc>
          <w:tcPr>
            <w:tcW w:w="1732" w:type="dxa"/>
          </w:tcPr>
          <w:p w14:paraId="3890529E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0FF5A01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36E070FD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7A875479" w14:textId="3B962B3A" w:rsidR="7E871B60" w:rsidRDefault="7E871B60" w:rsidP="7E871B60">
            <w:pPr>
              <w:rPr>
                <w:b/>
                <w:bCs/>
              </w:rPr>
            </w:pPr>
          </w:p>
        </w:tc>
      </w:tr>
      <w:tr w:rsidR="7E871B60" w14:paraId="6AACE71D" w14:textId="77777777" w:rsidTr="0062394C">
        <w:trPr>
          <w:trHeight w:val="300"/>
        </w:trPr>
        <w:tc>
          <w:tcPr>
            <w:tcW w:w="3650" w:type="dxa"/>
          </w:tcPr>
          <w:p w14:paraId="183E23A9" w14:textId="458E76EA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Originality and scope of project to contribute new knowledge</w:t>
            </w:r>
          </w:p>
        </w:tc>
        <w:tc>
          <w:tcPr>
            <w:tcW w:w="1732" w:type="dxa"/>
          </w:tcPr>
          <w:p w14:paraId="3B307CB3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4B69EAF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03768C9A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2D0634B6" w14:textId="3B962B3A" w:rsidR="7E871B60" w:rsidRDefault="7E871B60" w:rsidP="7E871B60">
            <w:pPr>
              <w:rPr>
                <w:b/>
                <w:bCs/>
              </w:rPr>
            </w:pPr>
          </w:p>
        </w:tc>
      </w:tr>
      <w:tr w:rsidR="7E871B60" w14:paraId="514DCC0F" w14:textId="77777777" w:rsidTr="0062394C">
        <w:trPr>
          <w:trHeight w:val="300"/>
        </w:trPr>
        <w:tc>
          <w:tcPr>
            <w:tcW w:w="3650" w:type="dxa"/>
          </w:tcPr>
          <w:p w14:paraId="19CC5A70" w14:textId="21A82ACF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Level of critical analysis and understanding conveyed in the scientific report</w:t>
            </w:r>
          </w:p>
        </w:tc>
        <w:tc>
          <w:tcPr>
            <w:tcW w:w="1732" w:type="dxa"/>
          </w:tcPr>
          <w:p w14:paraId="709B7988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7B8543D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5695E4A3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26D4D210" w14:textId="3B962B3A" w:rsidR="7E871B60" w:rsidRDefault="7E871B60" w:rsidP="7E871B60">
            <w:pPr>
              <w:rPr>
                <w:b/>
                <w:bCs/>
              </w:rPr>
            </w:pPr>
          </w:p>
        </w:tc>
      </w:tr>
      <w:tr w:rsidR="7E871B60" w14:paraId="6BC00CA0" w14:textId="77777777" w:rsidTr="0062394C">
        <w:trPr>
          <w:trHeight w:val="300"/>
        </w:trPr>
        <w:tc>
          <w:tcPr>
            <w:tcW w:w="3650" w:type="dxa"/>
          </w:tcPr>
          <w:p w14:paraId="63E60D27" w14:textId="265759AA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Capacity of the proposed methods to address the research questions</w:t>
            </w:r>
          </w:p>
        </w:tc>
        <w:tc>
          <w:tcPr>
            <w:tcW w:w="1732" w:type="dxa"/>
          </w:tcPr>
          <w:p w14:paraId="3CC687F4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15A1EBD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613EC5B9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3AF181B5" w14:textId="3B962B3A" w:rsidR="7E871B60" w:rsidRDefault="7E871B60" w:rsidP="7E871B60">
            <w:pPr>
              <w:rPr>
                <w:b/>
                <w:bCs/>
              </w:rPr>
            </w:pPr>
          </w:p>
        </w:tc>
      </w:tr>
      <w:tr w:rsidR="7E871B60" w14:paraId="566CA3DA" w14:textId="77777777" w:rsidTr="0062394C">
        <w:trPr>
          <w:trHeight w:val="300"/>
        </w:trPr>
        <w:tc>
          <w:tcPr>
            <w:tcW w:w="3650" w:type="dxa"/>
          </w:tcPr>
          <w:p w14:paraId="4F806828" w14:textId="5DEDA11A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>Literary standard of written report and capacity to communicate effectively in English</w:t>
            </w:r>
          </w:p>
        </w:tc>
        <w:tc>
          <w:tcPr>
            <w:tcW w:w="1732" w:type="dxa"/>
          </w:tcPr>
          <w:p w14:paraId="10A098CC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F35DB80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2D363145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20D2D726" w14:textId="3B962B3A" w:rsidR="7E871B60" w:rsidRDefault="7E871B60" w:rsidP="7E871B60">
            <w:pPr>
              <w:rPr>
                <w:b/>
                <w:bCs/>
              </w:rPr>
            </w:pPr>
          </w:p>
        </w:tc>
      </w:tr>
      <w:tr w:rsidR="7E871B60" w14:paraId="2B324F2D" w14:textId="77777777" w:rsidTr="0062394C">
        <w:trPr>
          <w:trHeight w:val="300"/>
        </w:trPr>
        <w:tc>
          <w:tcPr>
            <w:tcW w:w="3650" w:type="dxa"/>
          </w:tcPr>
          <w:p w14:paraId="72086DFF" w14:textId="04E99523" w:rsidR="27C12C8B" w:rsidRDefault="27C12C8B" w:rsidP="7E871B60">
            <w:pPr>
              <w:rPr>
                <w:b/>
                <w:bCs/>
              </w:rPr>
            </w:pPr>
            <w:r w:rsidRPr="7E871B60">
              <w:rPr>
                <w:b/>
                <w:bCs/>
              </w:rPr>
              <w:t xml:space="preserve">Student’s plan for a higher level of study differentiating between the MPhil and PhD </w:t>
            </w:r>
          </w:p>
        </w:tc>
        <w:tc>
          <w:tcPr>
            <w:tcW w:w="1732" w:type="dxa"/>
          </w:tcPr>
          <w:p w14:paraId="696D3D77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8923128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6FCED31C" w14:textId="3B962B3A" w:rsidR="7E871B60" w:rsidRDefault="7E871B60" w:rsidP="7E871B60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0825ABDF" w14:textId="3B962B3A" w:rsidR="7E871B60" w:rsidRDefault="7E871B60" w:rsidP="7E871B60">
            <w:pPr>
              <w:rPr>
                <w:b/>
                <w:bCs/>
              </w:rPr>
            </w:pPr>
          </w:p>
        </w:tc>
      </w:tr>
    </w:tbl>
    <w:p w14:paraId="3E40BAB6" w14:textId="77777777" w:rsidR="00163937" w:rsidRDefault="00163937" w:rsidP="7E871B60">
      <w:pPr>
        <w:pStyle w:val="ListParagraph"/>
        <w:ind w:left="1440"/>
        <w:jc w:val="both"/>
        <w:rPr>
          <w:b/>
          <w:bCs/>
        </w:rPr>
      </w:pPr>
    </w:p>
    <w:p w14:paraId="14D7C663" w14:textId="18BC221A" w:rsidR="00F07B1B" w:rsidRDefault="00F07B1B" w:rsidP="00F07B1B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Other questions to be addressed by </w:t>
      </w:r>
      <w:r w:rsidR="00873F23">
        <w:rPr>
          <w:b/>
          <w:bCs/>
        </w:rPr>
        <w:t xml:space="preserve">the </w:t>
      </w:r>
      <w:r>
        <w:rPr>
          <w:b/>
          <w:bCs/>
        </w:rPr>
        <w:t>examiners</w:t>
      </w:r>
      <w:r w:rsidR="00246116">
        <w:rPr>
          <w:b/>
          <w:bCs/>
        </w:rPr>
        <w:t xml:space="preserve"> as part of the upgrade</w:t>
      </w:r>
      <w:r w:rsidR="000B794A">
        <w:rPr>
          <w:b/>
          <w:bCs/>
        </w:rPr>
        <w:t xml:space="preserve"> examiners report</w:t>
      </w:r>
      <w:r w:rsidR="009D1BB3">
        <w:rPr>
          <w:b/>
          <w:bCs/>
        </w:rPr>
        <w:t xml:space="preserve">. </w:t>
      </w:r>
      <w:r w:rsidR="002176CC" w:rsidRPr="00847C73">
        <w:rPr>
          <w:i/>
          <w:iCs/>
        </w:rPr>
        <w:t>T</w:t>
      </w:r>
      <w:r w:rsidR="009D1BB3" w:rsidRPr="00847C73">
        <w:rPr>
          <w:i/>
          <w:iCs/>
        </w:rPr>
        <w:t xml:space="preserve">his section </w:t>
      </w:r>
      <w:r w:rsidR="009F7EA7">
        <w:rPr>
          <w:i/>
          <w:iCs/>
        </w:rPr>
        <w:t xml:space="preserve">will </w:t>
      </w:r>
      <w:r w:rsidR="009D1BB3" w:rsidRPr="00847C73">
        <w:rPr>
          <w:i/>
          <w:iCs/>
        </w:rPr>
        <w:t xml:space="preserve">be used to </w:t>
      </w:r>
      <w:r w:rsidR="002176CC" w:rsidRPr="00847C73">
        <w:rPr>
          <w:i/>
          <w:iCs/>
        </w:rPr>
        <w:t>justify</w:t>
      </w:r>
      <w:r w:rsidR="00DC7229" w:rsidRPr="00847C73">
        <w:rPr>
          <w:i/>
          <w:iCs/>
        </w:rPr>
        <w:t xml:space="preserve"> on the </w:t>
      </w:r>
      <w:r w:rsidR="00825244" w:rsidRPr="00847C73">
        <w:rPr>
          <w:i/>
          <w:iCs/>
        </w:rPr>
        <w:t>scores given</w:t>
      </w:r>
      <w:r w:rsidR="00DA6E8D">
        <w:rPr>
          <w:i/>
          <w:iCs/>
        </w:rPr>
        <w:t xml:space="preserve"> in the above sections </w:t>
      </w:r>
      <w:r w:rsidR="00825244" w:rsidRPr="00847C73">
        <w:rPr>
          <w:i/>
          <w:iCs/>
        </w:rPr>
        <w:t>(unsatisfactory-excellent)</w:t>
      </w:r>
      <w:r w:rsidRPr="00847C73">
        <w:t>:</w:t>
      </w:r>
    </w:p>
    <w:p w14:paraId="5C795317" w14:textId="77777777" w:rsidR="00F07B1B" w:rsidRDefault="00F07B1B" w:rsidP="7E871B60">
      <w:pPr>
        <w:pStyle w:val="ListParagraph"/>
        <w:ind w:left="1440"/>
        <w:jc w:val="both"/>
        <w:rPr>
          <w:b/>
          <w:bCs/>
        </w:rPr>
      </w:pPr>
    </w:p>
    <w:p w14:paraId="5773E5E2" w14:textId="5AA7F6E6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F07B1B">
        <w:rPr>
          <w:rFonts w:eastAsia="Arial" w:cstheme="minorHAnsi"/>
          <w:color w:val="000000" w:themeColor="text1"/>
        </w:rPr>
        <w:t xml:space="preserve">Has any work been published to date? </w:t>
      </w:r>
      <w:r w:rsidRPr="25AA70A7">
        <w:t xml:space="preserve"> </w:t>
      </w:r>
      <w:r w:rsidRPr="000B794A">
        <w:rPr>
          <w:b/>
          <w:bCs/>
        </w:rPr>
        <w:t>Y/N</w:t>
      </w:r>
    </w:p>
    <w:p w14:paraId="7C901173" w14:textId="77777777" w:rsidR="00F07B1B" w:rsidRDefault="00F07B1B" w:rsidP="00F07B1B">
      <w:pPr>
        <w:pStyle w:val="ListParagraph"/>
        <w:ind w:left="0"/>
        <w:jc w:val="both"/>
        <w:rPr>
          <w:rFonts w:eastAsia="Arial" w:cstheme="minorHAnsi"/>
          <w:color w:val="000000" w:themeColor="text1"/>
        </w:rPr>
      </w:pPr>
    </w:p>
    <w:p w14:paraId="72B54B99" w14:textId="17EECC43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F07B1B">
        <w:rPr>
          <w:rFonts w:eastAsia="Arial" w:cstheme="minorHAnsi"/>
          <w:color w:val="000000" w:themeColor="text1"/>
        </w:rPr>
        <w:t xml:space="preserve">If no, is future work of sufficient scope/ standard to be publishable?  </w:t>
      </w:r>
      <w:r w:rsidRPr="25AA70A7">
        <w:t xml:space="preserve"> </w:t>
      </w:r>
      <w:r w:rsidRPr="000B794A">
        <w:rPr>
          <w:b/>
          <w:bCs/>
        </w:rPr>
        <w:t>Y/N</w:t>
      </w:r>
    </w:p>
    <w:p w14:paraId="431F56EB" w14:textId="77777777" w:rsidR="00F07B1B" w:rsidRDefault="00F07B1B" w:rsidP="00F07B1B">
      <w:pPr>
        <w:pStyle w:val="ListParagraph"/>
        <w:ind w:left="0"/>
        <w:jc w:val="both"/>
        <w:rPr>
          <w:rFonts w:eastAsia="Arial" w:cstheme="minorHAnsi"/>
          <w:color w:val="000000" w:themeColor="text1"/>
        </w:rPr>
      </w:pPr>
    </w:p>
    <w:p w14:paraId="7A55EECB" w14:textId="211FC873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F07B1B">
        <w:rPr>
          <w:rFonts w:eastAsia="Arial" w:cstheme="minorHAnsi"/>
          <w:color w:val="000000" w:themeColor="text1"/>
        </w:rPr>
        <w:t xml:space="preserve">Has any required training been completed? </w:t>
      </w:r>
      <w:r w:rsidRPr="25AA70A7">
        <w:t xml:space="preserve">  </w:t>
      </w:r>
      <w:r w:rsidRPr="000B794A">
        <w:rPr>
          <w:b/>
          <w:bCs/>
        </w:rPr>
        <w:t>Y/N</w:t>
      </w:r>
    </w:p>
    <w:p w14:paraId="5633DD6F" w14:textId="1C8A9637" w:rsidR="25AA70A7" w:rsidRDefault="25AA70A7" w:rsidP="00F07B1B">
      <w:pPr>
        <w:pStyle w:val="ListParagraph"/>
        <w:ind w:left="0"/>
        <w:jc w:val="both"/>
      </w:pPr>
    </w:p>
    <w:p w14:paraId="769B954F" w14:textId="448F9021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E82B35">
        <w:rPr>
          <w:rFonts w:eastAsia="Arial" w:cstheme="minorHAnsi"/>
          <w:color w:val="000000" w:themeColor="text1"/>
        </w:rPr>
        <w:t>Please comment on any other aspects of the submitted report that informed the upgrade decision</w:t>
      </w:r>
      <w:r w:rsidRPr="00F07B1B">
        <w:rPr>
          <w:rFonts w:eastAsia="Arial" w:cstheme="minorHAnsi"/>
          <w:color w:val="000000" w:themeColor="text1"/>
        </w:rPr>
        <w:t>. This might include highlights/things that were done especially well in the report; or might elaborate on areas of the report that were identified as unsatisfactory in the questions above.</w:t>
      </w:r>
    </w:p>
    <w:p w14:paraId="72B8B3BD" w14:textId="336C764B" w:rsidR="25AA70A7" w:rsidRPr="00F07B1B" w:rsidRDefault="25AA70A7" w:rsidP="00F07B1B">
      <w:pPr>
        <w:pStyle w:val="ListParagraph"/>
        <w:ind w:left="0"/>
        <w:jc w:val="both"/>
        <w:rPr>
          <w:rFonts w:eastAsia="Arial" w:cstheme="minorHAnsi"/>
          <w:color w:val="000000" w:themeColor="text1"/>
        </w:rPr>
      </w:pPr>
    </w:p>
    <w:p w14:paraId="047FE6D7" w14:textId="5BC7A196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F07B1B">
        <w:rPr>
          <w:rFonts w:eastAsia="Arial" w:cstheme="minorHAnsi"/>
          <w:color w:val="000000" w:themeColor="text1"/>
        </w:rPr>
        <w:t>Please describe the student’s performance in the oral presentation</w:t>
      </w:r>
    </w:p>
    <w:p w14:paraId="23A253F5" w14:textId="7ACFC951" w:rsidR="25AA70A7" w:rsidRPr="00F07B1B" w:rsidRDefault="25AA70A7" w:rsidP="00F07B1B">
      <w:pPr>
        <w:pStyle w:val="ListParagraph"/>
        <w:ind w:left="0"/>
        <w:jc w:val="both"/>
        <w:rPr>
          <w:rFonts w:eastAsia="Arial" w:cstheme="minorHAnsi"/>
          <w:color w:val="000000" w:themeColor="text1"/>
        </w:rPr>
      </w:pPr>
    </w:p>
    <w:p w14:paraId="32C431BE" w14:textId="0EA326C8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F07B1B">
        <w:rPr>
          <w:rFonts w:eastAsia="Arial" w:cstheme="minorHAnsi"/>
          <w:color w:val="000000" w:themeColor="text1"/>
        </w:rPr>
        <w:t xml:space="preserve">Please describe the student’s performance in the viva voce examination. This might include highlights/ things that were done especially well in the viva; or it might identify areas where the student might seek to improve for the future. </w:t>
      </w:r>
      <w:r w:rsidRPr="25AA70A7">
        <w:t xml:space="preserve"> </w:t>
      </w:r>
    </w:p>
    <w:p w14:paraId="29DE1858" w14:textId="61313D67" w:rsidR="25AA70A7" w:rsidRPr="00F07B1B" w:rsidRDefault="25AA70A7" w:rsidP="00F07B1B">
      <w:pPr>
        <w:pStyle w:val="ListParagraph"/>
        <w:ind w:left="0"/>
        <w:jc w:val="both"/>
        <w:rPr>
          <w:rFonts w:eastAsia="Arial" w:cstheme="minorHAnsi"/>
          <w:color w:val="000000" w:themeColor="text1"/>
        </w:rPr>
      </w:pPr>
    </w:p>
    <w:p w14:paraId="37107304" w14:textId="27DA907E" w:rsidR="377E30E0" w:rsidRDefault="377E30E0" w:rsidP="001C6AAF">
      <w:pPr>
        <w:pStyle w:val="ListParagraph"/>
        <w:numPr>
          <w:ilvl w:val="0"/>
          <w:numId w:val="6"/>
        </w:numPr>
        <w:jc w:val="both"/>
      </w:pPr>
      <w:r w:rsidRPr="00F07B1B">
        <w:rPr>
          <w:rFonts w:eastAsia="Arial" w:cstheme="minorHAnsi"/>
          <w:color w:val="000000" w:themeColor="text1"/>
        </w:rPr>
        <w:t xml:space="preserve">Where relevant, have the appropriate ethics questions and the need for ethics approval been considered/addressed? </w:t>
      </w:r>
      <w:r w:rsidRPr="000B794A">
        <w:rPr>
          <w:rFonts w:eastAsia="Arial" w:cstheme="minorHAnsi"/>
          <w:b/>
          <w:bCs/>
          <w:color w:val="000000" w:themeColor="text1"/>
        </w:rPr>
        <w:t>Y/N</w:t>
      </w:r>
    </w:p>
    <w:p w14:paraId="782C280D" w14:textId="6170FD7F" w:rsidR="25AA70A7" w:rsidRDefault="25AA70A7" w:rsidP="25AA70A7">
      <w:pPr>
        <w:pStyle w:val="ListParagraph"/>
        <w:ind w:left="1440"/>
        <w:jc w:val="both"/>
      </w:pPr>
    </w:p>
    <w:p w14:paraId="35B5687B" w14:textId="43F857BA" w:rsidR="7E871B60" w:rsidRDefault="7E871B60" w:rsidP="7E871B60">
      <w:pPr>
        <w:pStyle w:val="ListParagraph"/>
        <w:ind w:left="1440"/>
        <w:jc w:val="both"/>
        <w:rPr>
          <w:b/>
          <w:bCs/>
        </w:rPr>
      </w:pPr>
    </w:p>
    <w:p w14:paraId="61AF2E09" w14:textId="450C3AC2" w:rsidR="00262E36" w:rsidRPr="00751E3D" w:rsidRDefault="00BD00C7" w:rsidP="00C662E8">
      <w:pPr>
        <w:pStyle w:val="ListParagraph"/>
        <w:numPr>
          <w:ilvl w:val="1"/>
          <w:numId w:val="1"/>
        </w:numPr>
        <w:jc w:val="both"/>
        <w:rPr>
          <w:b/>
        </w:rPr>
      </w:pPr>
      <w:bookmarkStart w:id="10" w:name="_Toc141101083"/>
      <w:r w:rsidRPr="00523FED">
        <w:rPr>
          <w:rStyle w:val="Heading3Char"/>
          <w:b/>
          <w:bCs/>
        </w:rPr>
        <w:t xml:space="preserve">Academic </w:t>
      </w:r>
      <w:r w:rsidR="00902D26">
        <w:rPr>
          <w:rStyle w:val="Heading3Char"/>
          <w:b/>
          <w:bCs/>
        </w:rPr>
        <w:t>r</w:t>
      </w:r>
      <w:r w:rsidR="0046658B" w:rsidRPr="00523FED">
        <w:rPr>
          <w:rStyle w:val="Heading3Char"/>
          <w:b/>
          <w:bCs/>
        </w:rPr>
        <w:t xml:space="preserve">esearch </w:t>
      </w:r>
      <w:r w:rsidR="00E47F88" w:rsidRPr="00523FED">
        <w:rPr>
          <w:rStyle w:val="Heading3Char"/>
          <w:b/>
          <w:bCs/>
        </w:rPr>
        <w:t>mis</w:t>
      </w:r>
      <w:r w:rsidRPr="00523FED">
        <w:rPr>
          <w:rStyle w:val="Heading3Char"/>
          <w:b/>
          <w:bCs/>
        </w:rPr>
        <w:t>conduct</w:t>
      </w:r>
      <w:bookmarkEnd w:id="10"/>
      <w:r w:rsidR="00163937" w:rsidRPr="00F858AF">
        <w:rPr>
          <w:b/>
          <w:bCs/>
        </w:rPr>
        <w:t>:</w:t>
      </w:r>
      <w:r w:rsidR="00163937" w:rsidRPr="35864632">
        <w:rPr>
          <w:b/>
          <w:bCs/>
        </w:rPr>
        <w:t xml:space="preserve"> </w:t>
      </w:r>
      <w:r w:rsidR="00BB73E4">
        <w:t>T</w:t>
      </w:r>
      <w:r w:rsidR="00163937">
        <w:t>he upgrade</w:t>
      </w:r>
      <w:r w:rsidR="00670A56">
        <w:t xml:space="preserve"> process is governed by the </w:t>
      </w:r>
      <w:hyperlink r:id="rId16">
        <w:r w:rsidR="00670A56" w:rsidRPr="35864632">
          <w:rPr>
            <w:rStyle w:val="Hyperlink"/>
          </w:rPr>
          <w:t xml:space="preserve">rules and </w:t>
        </w:r>
        <w:r w:rsidR="0046658B" w:rsidRPr="35864632">
          <w:rPr>
            <w:rStyle w:val="Hyperlink"/>
          </w:rPr>
          <w:t>policies around research misconduct as outlined in the TQA manual</w:t>
        </w:r>
      </w:hyperlink>
      <w:r w:rsidR="0046658B">
        <w:t>.</w:t>
      </w:r>
      <w:r w:rsidR="00163937">
        <w:t xml:space="preserve"> </w:t>
      </w:r>
      <w:r w:rsidR="00C3791B">
        <w:t xml:space="preserve">The upgrade report </w:t>
      </w:r>
      <w:r w:rsidR="00163937">
        <w:t>may</w:t>
      </w:r>
      <w:r w:rsidR="00422206">
        <w:t xml:space="preserve"> be</w:t>
      </w:r>
      <w:r>
        <w:t xml:space="preserve"> assessed for plagiarism</w:t>
      </w:r>
      <w:r w:rsidR="001247AD">
        <w:t xml:space="preserve"> using software such as Turnitin</w:t>
      </w:r>
      <w:r>
        <w:t xml:space="preserve"> as part of the examination process. </w:t>
      </w:r>
    </w:p>
    <w:p w14:paraId="2A3E4825" w14:textId="77777777" w:rsidR="00751E3D" w:rsidRPr="00751E3D" w:rsidRDefault="00751E3D" w:rsidP="00751E3D">
      <w:pPr>
        <w:pStyle w:val="ListParagraph"/>
        <w:ind w:left="1440"/>
        <w:jc w:val="both"/>
        <w:rPr>
          <w:b/>
        </w:rPr>
      </w:pPr>
    </w:p>
    <w:p w14:paraId="54BFD347" w14:textId="29633972" w:rsidR="00793A4C" w:rsidRPr="001902B7" w:rsidRDefault="00793A4C" w:rsidP="7E871B6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bookmarkStart w:id="11" w:name="_Toc141101084"/>
      <w:r w:rsidRPr="00523FED">
        <w:rPr>
          <w:rStyle w:val="Heading3Char"/>
          <w:b/>
          <w:bCs/>
        </w:rPr>
        <w:t>Scheduling the examination</w:t>
      </w:r>
      <w:bookmarkEnd w:id="11"/>
      <w:r w:rsidRPr="35864632">
        <w:rPr>
          <w:b/>
          <w:bCs/>
        </w:rPr>
        <w:t>:</w:t>
      </w:r>
    </w:p>
    <w:p w14:paraId="4705C6F4" w14:textId="7143E4B7" w:rsidR="00793A4C" w:rsidRPr="001902B7" w:rsidRDefault="001902B7" w:rsidP="7E871B6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 xml:space="preserve">The examination is expected to be completed within </w:t>
      </w:r>
      <w:r w:rsidR="7ED79E20">
        <w:t>4</w:t>
      </w:r>
      <w:r>
        <w:t>-weeks of upgrade</w:t>
      </w:r>
      <w:r w:rsidR="0030705F">
        <w:t xml:space="preserve"> document</w:t>
      </w:r>
      <w:r>
        <w:t xml:space="preserve"> submission. </w:t>
      </w:r>
    </w:p>
    <w:p w14:paraId="35E36AAA" w14:textId="0BAC106B" w:rsidR="00793A4C" w:rsidRPr="001902B7" w:rsidRDefault="002D730B" w:rsidP="7E871B6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2D730B">
        <w:rPr>
          <w:b/>
          <w:bCs/>
        </w:rPr>
        <w:t>You and</w:t>
      </w:r>
      <w:r>
        <w:t xml:space="preserve"> </w:t>
      </w:r>
      <w:r w:rsidR="001C19A0" w:rsidRPr="001C19A0">
        <w:rPr>
          <w:b/>
        </w:rPr>
        <w:t xml:space="preserve">lead supervisor </w:t>
      </w:r>
      <w:r w:rsidR="001C19A0">
        <w:t>are</w:t>
      </w:r>
      <w:r w:rsidR="00793A4C">
        <w:t xml:space="preserve"> responsible for</w:t>
      </w:r>
      <w:r w:rsidR="001C19A0">
        <w:t xml:space="preserve"> coordinating</w:t>
      </w:r>
      <w:r w:rsidR="00AE52F4">
        <w:t xml:space="preserve"> with</w:t>
      </w:r>
      <w:r w:rsidR="00793A4C">
        <w:t xml:space="preserve"> the examiners to organise the timing and location of the upgrade examination (both oral presentation and viva)</w:t>
      </w:r>
      <w:r w:rsidR="00E54261">
        <w:t>, including room bookings</w:t>
      </w:r>
      <w:r w:rsidR="007E5E5E">
        <w:t xml:space="preserve"> or Teams/Zoom links as appro</w:t>
      </w:r>
      <w:r w:rsidR="0030705F">
        <w:t>p</w:t>
      </w:r>
      <w:r w:rsidR="007E5E5E">
        <w:t>riate</w:t>
      </w:r>
      <w:r w:rsidR="00E54261">
        <w:t xml:space="preserve">. </w:t>
      </w:r>
    </w:p>
    <w:p w14:paraId="2054E1FF" w14:textId="478BDF5B" w:rsidR="00793A4C" w:rsidRPr="001902B7" w:rsidRDefault="00E54261" w:rsidP="7E871B6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I</w:t>
      </w:r>
      <w:r w:rsidR="00793A4C">
        <w:t>f the</w:t>
      </w:r>
      <w:r w:rsidR="0030705F">
        <w:t xml:space="preserve"> oral</w:t>
      </w:r>
      <w:r w:rsidR="00793A4C">
        <w:t xml:space="preserve"> presentation is open, </w:t>
      </w:r>
      <w:r w:rsidR="002D730B">
        <w:t>you</w:t>
      </w:r>
      <w:r>
        <w:t xml:space="preserve"> </w:t>
      </w:r>
      <w:r w:rsidR="00CB5DDF">
        <w:t xml:space="preserve">or </w:t>
      </w:r>
      <w:r w:rsidR="002D730B">
        <w:t xml:space="preserve">your </w:t>
      </w:r>
      <w:r w:rsidR="00CB5DDF">
        <w:t xml:space="preserve">supervisor </w:t>
      </w:r>
      <w:r>
        <w:t xml:space="preserve">should also </w:t>
      </w:r>
      <w:r w:rsidR="00793A4C">
        <w:t>ensur</w:t>
      </w:r>
      <w:r>
        <w:t>e</w:t>
      </w:r>
      <w:r w:rsidR="00793A4C">
        <w:t xml:space="preserve"> that it is advertised to the department</w:t>
      </w:r>
      <w:r w:rsidR="0030705F">
        <w:t xml:space="preserve"> in a timely manner </w:t>
      </w:r>
      <w:r w:rsidR="0040793F">
        <w:t>via contact with the relevant</w:t>
      </w:r>
      <w:r w:rsidR="0030705F">
        <w:t xml:space="preserve"> department manager</w:t>
      </w:r>
      <w:r w:rsidR="00793A4C">
        <w:t>.</w:t>
      </w:r>
    </w:p>
    <w:p w14:paraId="0C94F351" w14:textId="77777777" w:rsidR="001902B7" w:rsidRPr="001902B7" w:rsidRDefault="001902B7" w:rsidP="00C662E8">
      <w:pPr>
        <w:pStyle w:val="ListParagraph"/>
        <w:jc w:val="both"/>
        <w:rPr>
          <w:b/>
        </w:rPr>
      </w:pPr>
    </w:p>
    <w:p w14:paraId="70CBA165" w14:textId="34AE282D" w:rsidR="00633F16" w:rsidRPr="00633F16" w:rsidRDefault="001902B7" w:rsidP="35864632">
      <w:pPr>
        <w:pStyle w:val="ListParagraph"/>
        <w:numPr>
          <w:ilvl w:val="1"/>
          <w:numId w:val="1"/>
        </w:numPr>
        <w:jc w:val="both"/>
        <w:rPr>
          <w:b/>
          <w:bCs/>
        </w:rPr>
      </w:pPr>
      <w:bookmarkStart w:id="12" w:name="_Toc141101085"/>
      <w:r w:rsidRPr="00523FED">
        <w:rPr>
          <w:rStyle w:val="Heading3Char"/>
          <w:b/>
          <w:bCs/>
        </w:rPr>
        <w:t xml:space="preserve">Presence of </w:t>
      </w:r>
      <w:r w:rsidR="00AE1E58">
        <w:rPr>
          <w:rStyle w:val="Heading3Char"/>
          <w:b/>
          <w:bCs/>
        </w:rPr>
        <w:t>your</w:t>
      </w:r>
      <w:r w:rsidRPr="00523FED">
        <w:rPr>
          <w:rStyle w:val="Heading3Char"/>
          <w:b/>
          <w:bCs/>
        </w:rPr>
        <w:t xml:space="preserve"> supervisor during the examination</w:t>
      </w:r>
      <w:bookmarkEnd w:id="12"/>
      <w:r w:rsidRPr="009D2BCD">
        <w:t>:</w:t>
      </w:r>
      <w:r w:rsidRPr="348E0209">
        <w:rPr>
          <w:b/>
          <w:bCs/>
        </w:rPr>
        <w:t xml:space="preserve"> </w:t>
      </w:r>
      <w:r w:rsidR="00500618">
        <w:t>Independent of the supervisory team,</w:t>
      </w:r>
      <w:r w:rsidR="00500618" w:rsidRPr="348E0209">
        <w:rPr>
          <w:b/>
          <w:bCs/>
        </w:rPr>
        <w:t xml:space="preserve"> </w:t>
      </w:r>
      <w:r w:rsidR="00500618">
        <w:t>t</w:t>
      </w:r>
      <w:r>
        <w:t xml:space="preserve">he chair of the upgrade panel should confirm with </w:t>
      </w:r>
      <w:r w:rsidR="00AE1E58">
        <w:t>you</w:t>
      </w:r>
      <w:r w:rsidR="00500618">
        <w:t xml:space="preserve"> </w:t>
      </w:r>
      <w:r>
        <w:t>ahead of the examination whethe</w:t>
      </w:r>
      <w:r w:rsidR="0030705F">
        <w:t xml:space="preserve">r </w:t>
      </w:r>
      <w:r w:rsidR="00AE1E58">
        <w:t>you</w:t>
      </w:r>
      <w:r w:rsidR="0030705F">
        <w:t xml:space="preserve"> would like a member of the </w:t>
      </w:r>
      <w:r>
        <w:t>supervisor</w:t>
      </w:r>
      <w:r w:rsidR="0030705F">
        <w:t>y</w:t>
      </w:r>
      <w:r>
        <w:t xml:space="preserve"> to be present during the oral presentation and/or viva</w:t>
      </w:r>
      <w:r w:rsidR="0030705F">
        <w:t>, typically the primary supervisor</w:t>
      </w:r>
      <w:r>
        <w:t xml:space="preserve">. </w:t>
      </w:r>
      <w:r w:rsidR="009D2BCD">
        <w:t xml:space="preserve">While this can be very helpful it is recognised that this may make some people nervous. </w:t>
      </w:r>
      <w:r w:rsidR="00AE1E58">
        <w:t>Your preference</w:t>
      </w:r>
      <w:r w:rsidR="00500618">
        <w:t xml:space="preserve"> </w:t>
      </w:r>
      <w:r w:rsidR="00AE1E58">
        <w:t xml:space="preserve">will </w:t>
      </w:r>
      <w:r w:rsidR="00500618">
        <w:t xml:space="preserve">be honoured regardless of the </w:t>
      </w:r>
      <w:r w:rsidR="00C001E7">
        <w:t>supervisor</w:t>
      </w:r>
      <w:r w:rsidR="0030705F">
        <w:t>’s</w:t>
      </w:r>
      <w:r w:rsidR="00C001E7">
        <w:t xml:space="preserve"> </w:t>
      </w:r>
      <w:r w:rsidR="00500618">
        <w:t>preference</w:t>
      </w:r>
      <w:r w:rsidR="0030705F">
        <w:t>. Only one supervisor may be present during a closed presentation or viva.</w:t>
      </w:r>
      <w:r w:rsidR="00352894">
        <w:t xml:space="preserve"> </w:t>
      </w:r>
    </w:p>
    <w:p w14:paraId="24493BED" w14:textId="77777777" w:rsidR="00633F16" w:rsidRPr="00633F16" w:rsidRDefault="00633F16" w:rsidP="00633F16">
      <w:pPr>
        <w:pStyle w:val="ListParagraph"/>
        <w:ind w:left="1440"/>
        <w:jc w:val="both"/>
        <w:rPr>
          <w:b/>
          <w:bCs/>
        </w:rPr>
      </w:pPr>
    </w:p>
    <w:p w14:paraId="4505FF68" w14:textId="41C751FF" w:rsidR="001902B7" w:rsidRPr="00793A4C" w:rsidRDefault="00352894" w:rsidP="003150A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</w:rPr>
      </w:pPr>
      <w:r w:rsidRPr="00F858AF">
        <w:rPr>
          <w:b/>
        </w:rPr>
        <w:t xml:space="preserve">If present </w:t>
      </w:r>
      <w:r w:rsidR="00F858AF">
        <w:rPr>
          <w:b/>
        </w:rPr>
        <w:t xml:space="preserve">at </w:t>
      </w:r>
      <w:r w:rsidR="00C3079B">
        <w:rPr>
          <w:b/>
        </w:rPr>
        <w:t xml:space="preserve">any stage of </w:t>
      </w:r>
      <w:r w:rsidR="00F858AF">
        <w:rPr>
          <w:b/>
        </w:rPr>
        <w:t xml:space="preserve">the upgrade, </w:t>
      </w:r>
      <w:r w:rsidR="2A0116FA" w:rsidRPr="5C2B54AE">
        <w:rPr>
          <w:b/>
          <w:bCs/>
        </w:rPr>
        <w:t>including the presentation</w:t>
      </w:r>
      <w:r w:rsidR="00F858AF" w:rsidRPr="5C2B54AE">
        <w:rPr>
          <w:b/>
          <w:bCs/>
        </w:rPr>
        <w:t xml:space="preserve">, </w:t>
      </w:r>
      <w:r w:rsidRPr="00F858AF">
        <w:rPr>
          <w:b/>
        </w:rPr>
        <w:t>supervisor</w:t>
      </w:r>
      <w:r w:rsidR="00C3079B">
        <w:rPr>
          <w:b/>
        </w:rPr>
        <w:t>(s)</w:t>
      </w:r>
      <w:r w:rsidRPr="00F858AF">
        <w:rPr>
          <w:b/>
        </w:rPr>
        <w:t xml:space="preserve"> should only be observer</w:t>
      </w:r>
      <w:r w:rsidR="00C3079B">
        <w:rPr>
          <w:b/>
        </w:rPr>
        <w:t>s</w:t>
      </w:r>
      <w:r w:rsidR="00F858AF" w:rsidRPr="00F858AF">
        <w:rPr>
          <w:b/>
        </w:rPr>
        <w:t>,</w:t>
      </w:r>
      <w:r w:rsidRPr="00F858AF">
        <w:rPr>
          <w:b/>
        </w:rPr>
        <w:t xml:space="preserve"> </w:t>
      </w:r>
      <w:r w:rsidR="00F858AF" w:rsidRPr="00F858AF">
        <w:rPr>
          <w:b/>
        </w:rPr>
        <w:t>t</w:t>
      </w:r>
      <w:r w:rsidRPr="00F858AF">
        <w:rPr>
          <w:b/>
        </w:rPr>
        <w:t xml:space="preserve">hey </w:t>
      </w:r>
      <w:r w:rsidR="009D2BCD">
        <w:rPr>
          <w:b/>
        </w:rPr>
        <w:t>should not</w:t>
      </w:r>
      <w:r w:rsidRPr="00F858AF">
        <w:rPr>
          <w:b/>
        </w:rPr>
        <w:t xml:space="preserve"> answer questions for </w:t>
      </w:r>
      <w:r w:rsidR="009D2BCD">
        <w:rPr>
          <w:b/>
        </w:rPr>
        <w:t>your</w:t>
      </w:r>
      <w:r w:rsidRPr="00F858AF">
        <w:rPr>
          <w:b/>
        </w:rPr>
        <w:t xml:space="preserve"> or interject unless specifically requested by the examiners.</w:t>
      </w:r>
    </w:p>
    <w:p w14:paraId="736EB067" w14:textId="77777777" w:rsidR="00793A4C" w:rsidRDefault="00793A4C" w:rsidP="00C662E8">
      <w:pPr>
        <w:pStyle w:val="ListParagraph"/>
        <w:ind w:left="1440"/>
        <w:jc w:val="both"/>
        <w:rPr>
          <w:b/>
        </w:rPr>
      </w:pPr>
    </w:p>
    <w:p w14:paraId="52D4763C" w14:textId="77777777" w:rsidR="00124751" w:rsidRPr="00AE52F4" w:rsidRDefault="00124751" w:rsidP="00C662E8">
      <w:pPr>
        <w:pStyle w:val="ListParagraph"/>
        <w:numPr>
          <w:ilvl w:val="1"/>
          <w:numId w:val="1"/>
        </w:numPr>
        <w:jc w:val="both"/>
        <w:rPr>
          <w:b/>
        </w:rPr>
      </w:pPr>
      <w:bookmarkStart w:id="13" w:name="_Toc141101086"/>
      <w:r w:rsidRPr="00523FED">
        <w:rPr>
          <w:rStyle w:val="Heading3Char"/>
          <w:b/>
          <w:bCs/>
        </w:rPr>
        <w:t>Oral Presentation</w:t>
      </w:r>
      <w:bookmarkEnd w:id="13"/>
      <w:r w:rsidRPr="00AE52F4">
        <w:rPr>
          <w:b/>
          <w:bCs/>
        </w:rPr>
        <w:t xml:space="preserve">: </w:t>
      </w:r>
    </w:p>
    <w:p w14:paraId="3BC8C020" w14:textId="1FC1F167" w:rsidR="00124751" w:rsidRDefault="767B3171" w:rsidP="00C662E8">
      <w:pPr>
        <w:pStyle w:val="ListParagraph"/>
        <w:numPr>
          <w:ilvl w:val="2"/>
          <w:numId w:val="1"/>
        </w:numPr>
        <w:jc w:val="both"/>
      </w:pPr>
      <w:r>
        <w:t xml:space="preserve">As part of the upgrade examination process, prior to the viva </w:t>
      </w:r>
      <w:r w:rsidR="009D2BCD">
        <w:t>you</w:t>
      </w:r>
      <w:r w:rsidR="16D8AD38">
        <w:t xml:space="preserve"> should give an oral presentation with slides</w:t>
      </w:r>
      <w:r>
        <w:t>,</w:t>
      </w:r>
      <w:r w:rsidR="16D8AD38">
        <w:t xml:space="preserve"> </w:t>
      </w:r>
      <w:r w:rsidR="05662AB3" w:rsidRPr="5C2B54AE">
        <w:rPr>
          <w:b/>
          <w:bCs/>
        </w:rPr>
        <w:t>maximum</w:t>
      </w:r>
      <w:r w:rsidR="16D8AD38" w:rsidRPr="2102EB18">
        <w:rPr>
          <w:b/>
          <w:bCs/>
        </w:rPr>
        <w:t xml:space="preserve"> </w:t>
      </w:r>
      <w:r w:rsidR="00352894">
        <w:rPr>
          <w:b/>
          <w:bCs/>
        </w:rPr>
        <w:t>15</w:t>
      </w:r>
      <w:r w:rsidR="029292DC" w:rsidRPr="2102EB18">
        <w:rPr>
          <w:b/>
          <w:bCs/>
        </w:rPr>
        <w:t xml:space="preserve"> </w:t>
      </w:r>
      <w:r w:rsidR="16D8AD38" w:rsidRPr="2102EB18">
        <w:rPr>
          <w:b/>
          <w:bCs/>
        </w:rPr>
        <w:t>minutes in duration</w:t>
      </w:r>
      <w:r w:rsidR="16D8AD38">
        <w:t>.</w:t>
      </w:r>
    </w:p>
    <w:p w14:paraId="70D90B98" w14:textId="26C3BA87" w:rsidR="00C33B91" w:rsidRPr="00124751" w:rsidRDefault="00C33B91" w:rsidP="00C662E8">
      <w:pPr>
        <w:pStyle w:val="ListParagraph"/>
        <w:numPr>
          <w:ilvl w:val="2"/>
          <w:numId w:val="1"/>
        </w:numPr>
        <w:jc w:val="both"/>
      </w:pPr>
      <w:r>
        <w:t>Oral presentations may take place in-person or virtually</w:t>
      </w:r>
      <w:r w:rsidR="0030705F">
        <w:t xml:space="preserve"> via Teams or Zoom</w:t>
      </w:r>
      <w:r>
        <w:t>.</w:t>
      </w:r>
    </w:p>
    <w:p w14:paraId="1F7F6DC9" w14:textId="3DFFCE35" w:rsidR="00793A4C" w:rsidRDefault="00124751" w:rsidP="00C662E8">
      <w:pPr>
        <w:pStyle w:val="ListParagraph"/>
        <w:numPr>
          <w:ilvl w:val="2"/>
          <w:numId w:val="1"/>
        </w:numPr>
        <w:jc w:val="both"/>
      </w:pPr>
      <w:r>
        <w:t xml:space="preserve">Upon mutual agreement between </w:t>
      </w:r>
      <w:r w:rsidR="009D2BCD">
        <w:t xml:space="preserve">yourself and your </w:t>
      </w:r>
      <w:r>
        <w:t>supervisor</w:t>
      </w:r>
      <w:r w:rsidR="0030705F">
        <w:t>(</w:t>
      </w:r>
      <w:r>
        <w:t>s</w:t>
      </w:r>
      <w:r w:rsidR="0030705F">
        <w:t>)</w:t>
      </w:r>
      <w:r w:rsidR="00E54261">
        <w:t>,</w:t>
      </w:r>
      <w:r>
        <w:t xml:space="preserve"> this </w:t>
      </w:r>
      <w:r w:rsidR="00793A4C">
        <w:t xml:space="preserve">oral </w:t>
      </w:r>
      <w:r>
        <w:t>presentation may be</w:t>
      </w:r>
      <w:r w:rsidR="00793A4C">
        <w:t xml:space="preserve"> either:</w:t>
      </w:r>
    </w:p>
    <w:p w14:paraId="6E82EE12" w14:textId="731B95AE" w:rsidR="0094583B" w:rsidRDefault="00793A4C" w:rsidP="00C662E8">
      <w:pPr>
        <w:pStyle w:val="ListParagraph"/>
        <w:numPr>
          <w:ilvl w:val="3"/>
          <w:numId w:val="1"/>
        </w:numPr>
        <w:jc w:val="both"/>
      </w:pPr>
      <w:r w:rsidRPr="35864632">
        <w:rPr>
          <w:b/>
          <w:bCs/>
        </w:rPr>
        <w:t>Open</w:t>
      </w:r>
      <w:r>
        <w:t xml:space="preserve"> </w:t>
      </w:r>
      <w:r w:rsidR="2B4E31BE">
        <w:t>–</w:t>
      </w:r>
      <w:r w:rsidR="00124751">
        <w:t xml:space="preserve"> with </w:t>
      </w:r>
      <w:r w:rsidR="2B4E31BE">
        <w:t xml:space="preserve">the examiners and </w:t>
      </w:r>
      <w:r w:rsidR="00124751">
        <w:t xml:space="preserve">members of </w:t>
      </w:r>
      <w:r w:rsidR="009D2BCD">
        <w:t>your</w:t>
      </w:r>
      <w:r>
        <w:t xml:space="preserve"> department invited to attend. </w:t>
      </w:r>
      <w:r w:rsidR="4BFBBF25">
        <w:t>This could be scheduled as a standalone session or may take place as part of a departmental or other seminar series</w:t>
      </w:r>
      <w:r w:rsidR="13AF373E">
        <w:t>.</w:t>
      </w:r>
    </w:p>
    <w:p w14:paraId="76A3698B" w14:textId="00FFC05A" w:rsidR="00793A4C" w:rsidRDefault="00124751" w:rsidP="00C662E8">
      <w:pPr>
        <w:pStyle w:val="ListParagraph"/>
        <w:ind w:left="2880"/>
        <w:jc w:val="both"/>
      </w:pPr>
      <w:r>
        <w:t xml:space="preserve">or </w:t>
      </w:r>
    </w:p>
    <w:p w14:paraId="7614FC2B" w14:textId="7B90EB2B" w:rsidR="00793A4C" w:rsidRDefault="00793A4C" w:rsidP="00C662E8">
      <w:pPr>
        <w:pStyle w:val="ListParagraph"/>
        <w:numPr>
          <w:ilvl w:val="3"/>
          <w:numId w:val="1"/>
        </w:numPr>
        <w:jc w:val="both"/>
      </w:pPr>
      <w:r w:rsidRPr="35864632">
        <w:rPr>
          <w:b/>
          <w:bCs/>
        </w:rPr>
        <w:t>C</w:t>
      </w:r>
      <w:r w:rsidR="00124751" w:rsidRPr="35864632">
        <w:rPr>
          <w:b/>
          <w:bCs/>
        </w:rPr>
        <w:t>losed</w:t>
      </w:r>
      <w:r>
        <w:t xml:space="preserve"> -</w:t>
      </w:r>
      <w:r w:rsidR="00124751">
        <w:t xml:space="preserve"> with only </w:t>
      </w:r>
      <w:r w:rsidR="00E46339">
        <w:t xml:space="preserve">yourself, </w:t>
      </w:r>
      <w:r w:rsidR="00124751">
        <w:t xml:space="preserve">the examiners </w:t>
      </w:r>
      <w:r>
        <w:t xml:space="preserve">and </w:t>
      </w:r>
      <w:r w:rsidR="0030705F">
        <w:t>one member of the</w:t>
      </w:r>
      <w:r>
        <w:t xml:space="preserve"> supervisor</w:t>
      </w:r>
      <w:r w:rsidR="0030705F">
        <w:t>y team</w:t>
      </w:r>
      <w:r>
        <w:t xml:space="preserve"> (if desired by the student) in attendance.</w:t>
      </w:r>
    </w:p>
    <w:p w14:paraId="1E1AF56F" w14:textId="0CA6C0D5" w:rsidR="00793A4C" w:rsidRDefault="00793A4C" w:rsidP="00C662E8">
      <w:pPr>
        <w:pStyle w:val="ListParagraph"/>
        <w:numPr>
          <w:ilvl w:val="2"/>
          <w:numId w:val="1"/>
        </w:numPr>
        <w:jc w:val="both"/>
      </w:pPr>
      <w:r>
        <w:t xml:space="preserve">After </w:t>
      </w:r>
      <w:r w:rsidR="64B89D4B">
        <w:t>an open</w:t>
      </w:r>
      <w:r>
        <w:t xml:space="preserve"> oral presentation there may be </w:t>
      </w:r>
      <w:r w:rsidRPr="35864632">
        <w:rPr>
          <w:b/>
          <w:bCs/>
        </w:rPr>
        <w:t>up to 10 minutes of Q&amp;A</w:t>
      </w:r>
      <w:r>
        <w:t xml:space="preserve"> </w:t>
      </w:r>
      <w:r w:rsidR="0040793F">
        <w:t xml:space="preserve">from the audience. </w:t>
      </w:r>
    </w:p>
    <w:p w14:paraId="0B4667E3" w14:textId="7C6F6F66" w:rsidR="0040793F" w:rsidRDefault="029292DC" w:rsidP="00C662E8">
      <w:pPr>
        <w:pStyle w:val="ListParagraph"/>
        <w:numPr>
          <w:ilvl w:val="2"/>
          <w:numId w:val="1"/>
        </w:numPr>
        <w:jc w:val="both"/>
      </w:pPr>
      <w:r>
        <w:t>In the event of an open presentation</w:t>
      </w:r>
      <w:r w:rsidR="42E0C4A8">
        <w:t>,</w:t>
      </w:r>
      <w:r>
        <w:t xml:space="preserve"> the </w:t>
      </w:r>
      <w:r w:rsidR="00847C73">
        <w:t>lead supervisor</w:t>
      </w:r>
      <w:r w:rsidR="1154BC28">
        <w:t xml:space="preserve"> is</w:t>
      </w:r>
      <w:r>
        <w:t xml:space="preserve"> expected to chair, introducing </w:t>
      </w:r>
      <w:r w:rsidR="007D6307">
        <w:t>you</w:t>
      </w:r>
      <w:r w:rsidR="685B0D2E">
        <w:t>,</w:t>
      </w:r>
      <w:r w:rsidR="1154BC28">
        <w:t xml:space="preserve"> and ensuring that the presentation</w:t>
      </w:r>
      <w:r>
        <w:t xml:space="preserve"> </w:t>
      </w:r>
      <w:r w:rsidR="59C55E8E">
        <w:t>and Q&amp;A</w:t>
      </w:r>
      <w:r>
        <w:t xml:space="preserve"> run on time.</w:t>
      </w:r>
      <w:r w:rsidR="00847C73">
        <w:t xml:space="preserve"> </w:t>
      </w:r>
      <w:r w:rsidR="00B44487">
        <w:t xml:space="preserve">If the supervisor(s) are not present </w:t>
      </w:r>
      <w:r w:rsidR="007D6307">
        <w:t>this role</w:t>
      </w:r>
      <w:r w:rsidR="00B44487">
        <w:t xml:space="preserve"> should be undertaken by the chair of the upgrade panel.</w:t>
      </w:r>
    </w:p>
    <w:p w14:paraId="36DFE299" w14:textId="77777777" w:rsidR="00E54261" w:rsidRPr="00CB15FC" w:rsidRDefault="00E54261" w:rsidP="00C662E8">
      <w:pPr>
        <w:pStyle w:val="ListParagraph"/>
        <w:ind w:left="2160"/>
        <w:jc w:val="both"/>
        <w:rPr>
          <w:b/>
          <w:bCs/>
        </w:rPr>
      </w:pPr>
    </w:p>
    <w:p w14:paraId="1C1267BE" w14:textId="54AFA6CE" w:rsidR="00E54261" w:rsidRPr="00E54261" w:rsidRDefault="00E54261" w:rsidP="00C662E8">
      <w:pPr>
        <w:pStyle w:val="ListParagraph"/>
        <w:numPr>
          <w:ilvl w:val="1"/>
          <w:numId w:val="1"/>
        </w:numPr>
        <w:jc w:val="both"/>
      </w:pPr>
      <w:bookmarkStart w:id="14" w:name="_Toc141101087"/>
      <w:r w:rsidRPr="00523FED">
        <w:rPr>
          <w:rStyle w:val="Heading3Char"/>
          <w:b/>
          <w:bCs/>
        </w:rPr>
        <w:t>Viva voce</w:t>
      </w:r>
      <w:r w:rsidR="009F706A">
        <w:rPr>
          <w:rStyle w:val="Heading3Char"/>
          <w:b/>
          <w:bCs/>
        </w:rPr>
        <w:t xml:space="preserve"> (</w:t>
      </w:r>
      <w:r w:rsidR="005900D1">
        <w:rPr>
          <w:rStyle w:val="Heading3Char"/>
          <w:b/>
          <w:bCs/>
        </w:rPr>
        <w:t>oral examination)</w:t>
      </w:r>
      <w:bookmarkEnd w:id="14"/>
      <w:r w:rsidRPr="35864632">
        <w:rPr>
          <w:b/>
          <w:bCs/>
        </w:rPr>
        <w:t>:</w:t>
      </w:r>
    </w:p>
    <w:p w14:paraId="75BE4251" w14:textId="7231CDFE" w:rsidR="00E54261" w:rsidRPr="00E54261" w:rsidRDefault="00E54261" w:rsidP="35864632">
      <w:pPr>
        <w:pStyle w:val="ListParagraph"/>
        <w:numPr>
          <w:ilvl w:val="2"/>
          <w:numId w:val="1"/>
        </w:numPr>
        <w:jc w:val="both"/>
        <w:rPr>
          <w:rFonts w:eastAsiaTheme="minorEastAsia"/>
          <w:color w:val="000000" w:themeColor="text1"/>
        </w:rPr>
      </w:pPr>
      <w:r>
        <w:t xml:space="preserve">The upgrade viva typically lasts for </w:t>
      </w:r>
      <w:r w:rsidR="002A1BF5" w:rsidRPr="00966D60">
        <w:rPr>
          <w:b/>
          <w:bCs/>
        </w:rPr>
        <w:t>no more than 90</w:t>
      </w:r>
      <w:r w:rsidR="0094583B" w:rsidRPr="00966D60">
        <w:rPr>
          <w:b/>
          <w:bCs/>
        </w:rPr>
        <w:t xml:space="preserve"> </w:t>
      </w:r>
      <w:r w:rsidR="004814F4" w:rsidRPr="00966D60">
        <w:rPr>
          <w:b/>
          <w:bCs/>
        </w:rPr>
        <w:t>minutes</w:t>
      </w:r>
      <w:r w:rsidR="004814F4">
        <w:t xml:space="preserve"> and can be held in person or virtually</w:t>
      </w:r>
      <w:r w:rsidR="0030705F">
        <w:t xml:space="preserve"> via Teams or Zoom</w:t>
      </w:r>
      <w:r w:rsidR="004814F4">
        <w:t>.</w:t>
      </w:r>
      <w:r w:rsidR="0513F762">
        <w:t xml:space="preserve"> </w:t>
      </w:r>
      <w:r w:rsidR="0513F762" w:rsidRPr="154C2F46">
        <w:rPr>
          <w:rFonts w:eastAsiaTheme="minorEastAsia"/>
        </w:rPr>
        <w:t>V</w:t>
      </w:r>
      <w:r w:rsidR="0513F762" w:rsidRPr="154C2F46">
        <w:rPr>
          <w:rFonts w:eastAsiaTheme="minorEastAsia"/>
          <w:color w:val="000000" w:themeColor="text1"/>
        </w:rPr>
        <w:t xml:space="preserve">ivas that take place by video-link must comply with the procedure set out in </w:t>
      </w:r>
      <w:hyperlink r:id="rId17" w:anchor="Annex-2-Upgrade-Vivas-by-Video-link">
        <w:r w:rsidR="0513F762" w:rsidRPr="154C2F46">
          <w:rPr>
            <w:rStyle w:val="Hyperlink"/>
            <w:rFonts w:eastAsiaTheme="minorEastAsia"/>
          </w:rPr>
          <w:t>Annex 2: Upgrade Vivas by Video-link</w:t>
        </w:r>
      </w:hyperlink>
      <w:r w:rsidR="00261697" w:rsidRPr="154C2F46">
        <w:rPr>
          <w:rFonts w:eastAsiaTheme="minorEastAsia"/>
          <w:color w:val="000000" w:themeColor="text1"/>
        </w:rPr>
        <w:t>.</w:t>
      </w:r>
    </w:p>
    <w:p w14:paraId="30774C9E" w14:textId="0AE06EB0" w:rsidR="00E54261" w:rsidRPr="00847FCC" w:rsidRDefault="00480A18" w:rsidP="00C662E8">
      <w:pPr>
        <w:pStyle w:val="ListParagraph"/>
        <w:numPr>
          <w:ilvl w:val="2"/>
          <w:numId w:val="1"/>
        </w:numPr>
        <w:jc w:val="both"/>
        <w:rPr>
          <w:b/>
        </w:rPr>
      </w:pPr>
      <w:r>
        <w:t>You</w:t>
      </w:r>
      <w:r w:rsidR="00E54261">
        <w:t xml:space="preserve"> should be prepared to answer questions related to any aspect of the upgrade document, including </w:t>
      </w:r>
      <w:r w:rsidR="00262E36">
        <w:t>related background knowledge.</w:t>
      </w:r>
    </w:p>
    <w:p w14:paraId="5596C3B6" w14:textId="4DDFA3A9" w:rsidR="00847FCC" w:rsidRPr="008512ED" w:rsidRDefault="00847FCC" w:rsidP="00847FCC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8512ED">
        <w:rPr>
          <w:b/>
        </w:rPr>
        <w:t>Supervisor consultation</w:t>
      </w:r>
      <w:r w:rsidR="00CB24A0">
        <w:rPr>
          <w:b/>
        </w:rPr>
        <w:t xml:space="preserve"> (if supervisor present)</w:t>
      </w:r>
      <w:r w:rsidRPr="008512ED">
        <w:rPr>
          <w:b/>
        </w:rPr>
        <w:t>:</w:t>
      </w:r>
      <w:r w:rsidRPr="008512ED">
        <w:t xml:space="preserve"> After completion of the viva, </w:t>
      </w:r>
      <w:r w:rsidR="006C7947" w:rsidRPr="008512ED">
        <w:t xml:space="preserve">if they wish, </w:t>
      </w:r>
      <w:r w:rsidR="008C1834" w:rsidRPr="008512ED">
        <w:t xml:space="preserve">the examiners </w:t>
      </w:r>
      <w:r w:rsidR="006C7947" w:rsidRPr="008512ED">
        <w:t>may ask the supervisor</w:t>
      </w:r>
      <w:r w:rsidR="00453062" w:rsidRPr="008512ED">
        <w:t xml:space="preserve"> if they have anything </w:t>
      </w:r>
      <w:r w:rsidR="00B77D74">
        <w:t xml:space="preserve">constructive </w:t>
      </w:r>
      <w:r w:rsidR="00453062" w:rsidRPr="008512ED">
        <w:t xml:space="preserve">that they would like to share about </w:t>
      </w:r>
      <w:r w:rsidR="00480A18">
        <w:t>your</w:t>
      </w:r>
      <w:r w:rsidR="00453062" w:rsidRPr="008512ED">
        <w:t xml:space="preserve"> progress to date</w:t>
      </w:r>
      <w:r w:rsidR="00A0031E" w:rsidRPr="008512ED">
        <w:t xml:space="preserve"> and observations on the viva discussions.</w:t>
      </w:r>
    </w:p>
    <w:p w14:paraId="620D5512" w14:textId="6BE3E2D6" w:rsidR="004814F4" w:rsidRPr="00847FCC" w:rsidRDefault="00847FCC" w:rsidP="006E596C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847FCC">
        <w:rPr>
          <w:b/>
        </w:rPr>
        <w:t>Student consultation:</w:t>
      </w:r>
      <w:r>
        <w:t xml:space="preserve"> After the supervisor consultation,</w:t>
      </w:r>
      <w:r w:rsidR="0030705F">
        <w:t xml:space="preserve"> if a</w:t>
      </w:r>
      <w:r w:rsidR="004814F4">
        <w:t xml:space="preserve"> supervisor is </w:t>
      </w:r>
      <w:r w:rsidR="004F6B53">
        <w:t>present,</w:t>
      </w:r>
      <w:r w:rsidR="004814F4">
        <w:t xml:space="preserve"> they should be asked to leave the</w:t>
      </w:r>
      <w:r w:rsidR="007E5E5E">
        <w:t xml:space="preserve"> room or virtual meeting and </w:t>
      </w:r>
      <w:r w:rsidR="00480A18">
        <w:t>you will be</w:t>
      </w:r>
      <w:r w:rsidR="007E5E5E">
        <w:t xml:space="preserve"> given the opportunity to talk about </w:t>
      </w:r>
      <w:r w:rsidR="00480A18">
        <w:t>your</w:t>
      </w:r>
      <w:r>
        <w:t xml:space="preserve"> PGR experience to date</w:t>
      </w:r>
      <w:r w:rsidR="0021114F">
        <w:t xml:space="preserve">. </w:t>
      </w:r>
      <w:r w:rsidR="00480A18">
        <w:t xml:space="preserve">You will </w:t>
      </w:r>
      <w:r w:rsidR="0021114F">
        <w:t>be asked to reflect on</w:t>
      </w:r>
      <w:r>
        <w:t xml:space="preserve"> what is going well and given the opportunity to express </w:t>
      </w:r>
      <w:r w:rsidR="007E5E5E">
        <w:t xml:space="preserve">any concerns that </w:t>
      </w:r>
      <w:r w:rsidR="006E596C">
        <w:t>you</w:t>
      </w:r>
      <w:r w:rsidR="007E5E5E">
        <w:t xml:space="preserve"> may have related to </w:t>
      </w:r>
      <w:r w:rsidR="00956898">
        <w:t>your</w:t>
      </w:r>
      <w:r w:rsidR="007E5E5E">
        <w:t xml:space="preserve"> programme of study, including supervisory team. </w:t>
      </w:r>
    </w:p>
    <w:p w14:paraId="2307326F" w14:textId="0E98BE4C" w:rsidR="007E5E5E" w:rsidRPr="0014414F" w:rsidRDefault="007E5E5E" w:rsidP="7E871B6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After the student consultation</w:t>
      </w:r>
      <w:r w:rsidR="0030705F">
        <w:t>,</w:t>
      </w:r>
      <w:r>
        <w:t xml:space="preserve"> </w:t>
      </w:r>
      <w:r w:rsidR="006E596C">
        <w:t>you</w:t>
      </w:r>
      <w:r>
        <w:t xml:space="preserve"> </w:t>
      </w:r>
      <w:r w:rsidR="006E596C">
        <w:t>will</w:t>
      </w:r>
      <w:r w:rsidR="0030705F">
        <w:t xml:space="preserve"> </w:t>
      </w:r>
      <w:r>
        <w:t>be asked to leave the room or virtual meeting and the examiners agree on a preliminary outcome.</w:t>
      </w:r>
    </w:p>
    <w:p w14:paraId="22F050B2" w14:textId="1CF457FC" w:rsidR="007E5E5E" w:rsidRPr="0014414F" w:rsidRDefault="00A006C5" w:rsidP="7E871B6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You</w:t>
      </w:r>
      <w:r w:rsidR="007E5E5E">
        <w:t xml:space="preserve"> </w:t>
      </w:r>
      <w:r w:rsidR="00847FCC">
        <w:t xml:space="preserve">and </w:t>
      </w:r>
      <w:r>
        <w:t xml:space="preserve">your </w:t>
      </w:r>
      <w:r w:rsidR="00847FCC">
        <w:t xml:space="preserve">supervisor </w:t>
      </w:r>
      <w:r w:rsidR="006143DD">
        <w:t xml:space="preserve">(if present) </w:t>
      </w:r>
      <w:r w:rsidR="00847FCC">
        <w:t xml:space="preserve">are then invited back and are </w:t>
      </w:r>
      <w:r w:rsidR="0030705F">
        <w:t>then</w:t>
      </w:r>
      <w:r w:rsidR="00991FE8">
        <w:t xml:space="preserve"> be informed of the preliminary </w:t>
      </w:r>
      <w:r w:rsidR="00B60C0E">
        <w:t>outcome</w:t>
      </w:r>
      <w:r w:rsidR="003B1270">
        <w:t xml:space="preserve">. </w:t>
      </w:r>
      <w:r w:rsidR="00E85F0A">
        <w:t>Be aware that</w:t>
      </w:r>
      <w:r w:rsidR="003B1270">
        <w:t xml:space="preserve"> </w:t>
      </w:r>
      <w:r w:rsidR="00991FE8">
        <w:t>this is subject to</w:t>
      </w:r>
      <w:r w:rsidR="00E85F0A">
        <w:t xml:space="preserve"> formal</w:t>
      </w:r>
      <w:r w:rsidR="00991FE8">
        <w:t xml:space="preserve"> ratification</w:t>
      </w:r>
      <w:r w:rsidR="3042C495">
        <w:t xml:space="preserve"> by the </w:t>
      </w:r>
      <w:r w:rsidR="00ED54DE">
        <w:t>f</w:t>
      </w:r>
      <w:r w:rsidR="3042C495">
        <w:t>aculty</w:t>
      </w:r>
      <w:r w:rsidR="003B1270">
        <w:t xml:space="preserve"> after submission of the upgrade examiner’s report</w:t>
      </w:r>
      <w:r w:rsidR="00991FE8">
        <w:t>.</w:t>
      </w:r>
    </w:p>
    <w:p w14:paraId="452DDD26" w14:textId="77777777" w:rsidR="0014414F" w:rsidRPr="00991FE8" w:rsidRDefault="0014414F" w:rsidP="00C662E8">
      <w:pPr>
        <w:pStyle w:val="ListParagraph"/>
        <w:ind w:left="2160"/>
        <w:jc w:val="both"/>
        <w:rPr>
          <w:b/>
        </w:rPr>
      </w:pPr>
    </w:p>
    <w:p w14:paraId="72566F3F" w14:textId="438B551A" w:rsidR="005A3880" w:rsidRPr="00E003CA" w:rsidRDefault="0014414F" w:rsidP="00B60C0E">
      <w:pPr>
        <w:pStyle w:val="Heading2"/>
        <w:numPr>
          <w:ilvl w:val="0"/>
          <w:numId w:val="1"/>
        </w:numPr>
        <w:rPr>
          <w:b/>
          <w:bCs/>
        </w:rPr>
      </w:pPr>
      <w:bookmarkStart w:id="15" w:name="_Toc141101088"/>
      <w:r w:rsidRPr="00E003CA">
        <w:rPr>
          <w:b/>
          <w:bCs/>
        </w:rPr>
        <w:t>Upgrade outcomes:</w:t>
      </w:r>
      <w:bookmarkEnd w:id="15"/>
    </w:p>
    <w:p w14:paraId="058511E0" w14:textId="66CC9E66" w:rsidR="005A3880" w:rsidRPr="005A3880" w:rsidRDefault="005A3880" w:rsidP="00C662E8">
      <w:pPr>
        <w:pStyle w:val="ListParagraph"/>
        <w:numPr>
          <w:ilvl w:val="1"/>
          <w:numId w:val="1"/>
        </w:numPr>
        <w:jc w:val="both"/>
        <w:rPr>
          <w:b/>
        </w:rPr>
      </w:pPr>
      <w:r w:rsidRPr="35864632">
        <w:rPr>
          <w:lang w:val="en-US"/>
        </w:rPr>
        <w:t xml:space="preserve">The combined decision of the upgrade panel is reported by the upgrade chair via the </w:t>
      </w:r>
      <w:r w:rsidR="00381478">
        <w:rPr>
          <w:lang w:val="en-US"/>
        </w:rPr>
        <w:t>p</w:t>
      </w:r>
      <w:r w:rsidRPr="35864632">
        <w:rPr>
          <w:lang w:val="en-US"/>
        </w:rPr>
        <w:t xml:space="preserve">anel </w:t>
      </w:r>
      <w:r w:rsidR="00381478">
        <w:rPr>
          <w:lang w:val="en-US"/>
        </w:rPr>
        <w:t>r</w:t>
      </w:r>
      <w:r w:rsidRPr="35864632">
        <w:rPr>
          <w:lang w:val="en-US"/>
        </w:rPr>
        <w:t xml:space="preserve">eport </w:t>
      </w:r>
      <w:r w:rsidR="00381478">
        <w:rPr>
          <w:lang w:val="en-US"/>
        </w:rPr>
        <w:t>f</w:t>
      </w:r>
      <w:r w:rsidRPr="35864632">
        <w:rPr>
          <w:lang w:val="en-US"/>
        </w:rPr>
        <w:t xml:space="preserve">orm in </w:t>
      </w:r>
      <w:proofErr w:type="spellStart"/>
      <w:r w:rsidRPr="35864632">
        <w:rPr>
          <w:lang w:val="en-US"/>
        </w:rPr>
        <w:t>myPGR</w:t>
      </w:r>
      <w:proofErr w:type="spellEnd"/>
      <w:r w:rsidRPr="35864632">
        <w:rPr>
          <w:lang w:val="en-US"/>
        </w:rPr>
        <w:t>.</w:t>
      </w:r>
    </w:p>
    <w:p w14:paraId="0DFC5B5C" w14:textId="5D0B7E10" w:rsidR="00784393" w:rsidRPr="00784393" w:rsidRDefault="008C4CF5" w:rsidP="00C662E8">
      <w:pPr>
        <w:pStyle w:val="ListParagraph"/>
        <w:numPr>
          <w:ilvl w:val="1"/>
          <w:numId w:val="1"/>
        </w:numPr>
        <w:jc w:val="both"/>
        <w:rPr>
          <w:b/>
        </w:rPr>
      </w:pPr>
      <w:r w:rsidRPr="35864632">
        <w:rPr>
          <w:lang w:val="en-US"/>
        </w:rPr>
        <w:t>The Panel may recommend</w:t>
      </w:r>
      <w:r w:rsidR="00784393" w:rsidRPr="35864632">
        <w:rPr>
          <w:lang w:val="en-US"/>
        </w:rPr>
        <w:t>:</w:t>
      </w:r>
    </w:p>
    <w:p w14:paraId="44AF9A8E" w14:textId="4F40633E" w:rsidR="00784393" w:rsidRPr="00784393" w:rsidRDefault="00784393" w:rsidP="35864632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5864632">
        <w:rPr>
          <w:lang w:val="en-US"/>
        </w:rPr>
        <w:t>U</w:t>
      </w:r>
      <w:r w:rsidR="008C4CF5" w:rsidRPr="35864632">
        <w:rPr>
          <w:lang w:val="en-US"/>
        </w:rPr>
        <w:t xml:space="preserve">pgrade </w:t>
      </w:r>
      <w:r w:rsidR="72C55FF9" w:rsidRPr="35864632">
        <w:rPr>
          <w:lang w:val="en-US"/>
        </w:rPr>
        <w:t>to PhD</w:t>
      </w:r>
    </w:p>
    <w:p w14:paraId="5D1B7E1F" w14:textId="2D98145C" w:rsidR="00784393" w:rsidRPr="00784393" w:rsidRDefault="72C55FF9" w:rsidP="35864632">
      <w:pPr>
        <w:pStyle w:val="ListParagraph"/>
        <w:numPr>
          <w:ilvl w:val="2"/>
          <w:numId w:val="1"/>
        </w:numPr>
        <w:jc w:val="both"/>
        <w:rPr>
          <w:lang w:val="en-US"/>
        </w:rPr>
      </w:pPr>
      <w:r w:rsidRPr="348E0209">
        <w:rPr>
          <w:lang w:val="en-US"/>
        </w:rPr>
        <w:t>Upgrade to PhD, subject to minor modifications of the upgrade materials</w:t>
      </w:r>
      <w:r w:rsidR="6E7630C7" w:rsidRPr="348E0209">
        <w:rPr>
          <w:lang w:val="en-US"/>
        </w:rPr>
        <w:t xml:space="preserve"> within 2-months (or the pro-rata equivalent</w:t>
      </w:r>
      <w:r w:rsidR="7FAAA333" w:rsidRPr="348E0209">
        <w:rPr>
          <w:lang w:val="en-US"/>
        </w:rPr>
        <w:t xml:space="preserve"> </w:t>
      </w:r>
      <w:r w:rsidR="6E7630C7" w:rsidRPr="348E0209">
        <w:rPr>
          <w:lang w:val="en-US"/>
        </w:rPr>
        <w:t>for part-time registration)</w:t>
      </w:r>
    </w:p>
    <w:p w14:paraId="01FF8190" w14:textId="0DDE7E0D" w:rsidR="6E7630C7" w:rsidRPr="00246116" w:rsidRDefault="6E7630C7" w:rsidP="35864632">
      <w:pPr>
        <w:pStyle w:val="ListParagraph"/>
        <w:numPr>
          <w:ilvl w:val="2"/>
          <w:numId w:val="1"/>
        </w:numPr>
        <w:jc w:val="both"/>
        <w:rPr>
          <w:rFonts w:eastAsiaTheme="minorEastAsia"/>
          <w:lang w:val="en-US"/>
        </w:rPr>
      </w:pPr>
      <w:r w:rsidRPr="35864632">
        <w:rPr>
          <w:rFonts w:eastAsiaTheme="minorEastAsia"/>
          <w:color w:val="000000" w:themeColor="text1"/>
          <w:lang w:val="en-US"/>
        </w:rPr>
        <w:t>Refer for a second attempt within 3 months (or the pro-rata equivalent for part-time registration)</w:t>
      </w:r>
      <w:r w:rsidR="5E048F03" w:rsidRPr="35864632">
        <w:rPr>
          <w:rFonts w:eastAsiaTheme="minorEastAsia"/>
          <w:color w:val="000000" w:themeColor="text1"/>
          <w:lang w:val="en-US"/>
        </w:rPr>
        <w:t xml:space="preserve"> </w:t>
      </w:r>
      <w:r w:rsidRPr="35864632">
        <w:rPr>
          <w:rFonts w:eastAsiaTheme="minorEastAsia"/>
          <w:color w:val="000000" w:themeColor="text1"/>
          <w:lang w:val="en-US"/>
        </w:rPr>
        <w:t xml:space="preserve">and normally recommend initiation or progression of a case under the </w:t>
      </w:r>
      <w:hyperlink r:id="rId18">
        <w:r w:rsidRPr="35864632">
          <w:rPr>
            <w:rStyle w:val="Hyperlink"/>
            <w:rFonts w:eastAsiaTheme="minorEastAsia"/>
            <w:lang w:val="en-US"/>
          </w:rPr>
          <w:t>'Unsatisfactory Student Progress and Engagement: Code of Good Practice’</w:t>
        </w:r>
      </w:hyperlink>
      <w:r w:rsidRPr="35864632">
        <w:rPr>
          <w:rFonts w:eastAsiaTheme="minorEastAsia"/>
          <w:color w:val="000000" w:themeColor="text1"/>
          <w:lang w:val="en-US"/>
        </w:rPr>
        <w:t>.</w:t>
      </w:r>
    </w:p>
    <w:p w14:paraId="1F7D9FEB" w14:textId="1D815584" w:rsidR="008137CC" w:rsidRDefault="00CD4920" w:rsidP="00246116">
      <w:pPr>
        <w:pStyle w:val="ListParagraph"/>
        <w:numPr>
          <w:ilvl w:val="3"/>
          <w:numId w:val="1"/>
        </w:num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>U</w:t>
      </w:r>
      <w:r w:rsidR="00FE0A2C" w:rsidRPr="00FE0A2C">
        <w:rPr>
          <w:rFonts w:eastAsiaTheme="minorEastAsia"/>
        </w:rPr>
        <w:t>pon review of a second submission, if the Upgrade Committee are satisfied</w:t>
      </w:r>
      <w:r w:rsidR="002D25BF">
        <w:rPr>
          <w:rFonts w:eastAsiaTheme="minorEastAsia"/>
        </w:rPr>
        <w:t>,</w:t>
      </w:r>
      <w:r w:rsidR="00FE0A2C" w:rsidRPr="00FE0A2C">
        <w:rPr>
          <w:rFonts w:eastAsiaTheme="minorEastAsia"/>
        </w:rPr>
        <w:t xml:space="preserve"> a recommendation of ‘pass’ can be made without the necessity for a second viva.</w:t>
      </w:r>
    </w:p>
    <w:p w14:paraId="0549A843" w14:textId="5A62CB08" w:rsidR="008C4CF5" w:rsidRPr="008C7C02" w:rsidRDefault="008C4CF5" w:rsidP="00C662E8">
      <w:pPr>
        <w:pStyle w:val="ListParagraph"/>
        <w:numPr>
          <w:ilvl w:val="1"/>
          <w:numId w:val="1"/>
        </w:numPr>
        <w:jc w:val="both"/>
        <w:rPr>
          <w:b/>
        </w:rPr>
      </w:pPr>
      <w:r w:rsidRPr="35864632">
        <w:rPr>
          <w:lang w:val="en-US"/>
        </w:rPr>
        <w:t xml:space="preserve">PGR Support </w:t>
      </w:r>
      <w:r w:rsidR="00104AB2" w:rsidRPr="35864632">
        <w:rPr>
          <w:lang w:val="en-US"/>
        </w:rPr>
        <w:t xml:space="preserve">formally </w:t>
      </w:r>
      <w:r w:rsidRPr="35864632">
        <w:rPr>
          <w:lang w:val="en-US"/>
        </w:rPr>
        <w:t>notif</w:t>
      </w:r>
      <w:r w:rsidR="008C691D" w:rsidRPr="35864632">
        <w:rPr>
          <w:lang w:val="en-US"/>
        </w:rPr>
        <w:t>ies</w:t>
      </w:r>
      <w:r w:rsidRPr="35864632">
        <w:rPr>
          <w:lang w:val="en-US"/>
        </w:rPr>
        <w:t xml:space="preserve"> </w:t>
      </w:r>
      <w:r w:rsidR="00806EB9">
        <w:rPr>
          <w:lang w:val="en-US"/>
        </w:rPr>
        <w:t>you</w:t>
      </w:r>
      <w:r w:rsidRPr="35864632">
        <w:rPr>
          <w:lang w:val="en-US"/>
        </w:rPr>
        <w:t xml:space="preserve"> regarding the decision of the Panel via </w:t>
      </w:r>
      <w:proofErr w:type="spellStart"/>
      <w:r w:rsidR="008C691D" w:rsidRPr="35864632">
        <w:rPr>
          <w:lang w:val="en-US"/>
        </w:rPr>
        <w:t>m</w:t>
      </w:r>
      <w:r w:rsidRPr="35864632">
        <w:rPr>
          <w:lang w:val="en-US"/>
        </w:rPr>
        <w:t>yPGR</w:t>
      </w:r>
      <w:proofErr w:type="spellEnd"/>
      <w:r w:rsidRPr="35864632">
        <w:rPr>
          <w:lang w:val="en-US"/>
        </w:rPr>
        <w:t xml:space="preserve"> and ensure</w:t>
      </w:r>
      <w:r w:rsidR="00DD617B">
        <w:rPr>
          <w:lang w:val="en-US"/>
        </w:rPr>
        <w:t>s</w:t>
      </w:r>
      <w:r w:rsidRPr="35864632">
        <w:rPr>
          <w:lang w:val="en-US"/>
        </w:rPr>
        <w:t xml:space="preserve"> that the upgrade documentation is approved by Faculty Director of Postgraduate Research. PGR Support will also ensure all other relevant records (for example </w:t>
      </w:r>
      <w:proofErr w:type="spellStart"/>
      <w:r w:rsidR="008C691D" w:rsidRPr="35864632">
        <w:rPr>
          <w:lang w:val="en-US"/>
        </w:rPr>
        <w:t>m</w:t>
      </w:r>
      <w:r w:rsidRPr="35864632">
        <w:rPr>
          <w:lang w:val="en-US"/>
        </w:rPr>
        <w:t>yPGR</w:t>
      </w:r>
      <w:proofErr w:type="spellEnd"/>
      <w:r w:rsidRPr="35864632">
        <w:rPr>
          <w:lang w:val="en-US"/>
        </w:rPr>
        <w:t>) are updated accordingly.</w:t>
      </w:r>
    </w:p>
    <w:p w14:paraId="2A6872DC" w14:textId="075F57E1" w:rsidR="008C7C02" w:rsidRDefault="008C7C02" w:rsidP="008C7C02">
      <w:pPr>
        <w:jc w:val="both"/>
      </w:pPr>
    </w:p>
    <w:p w14:paraId="6FBAFE92" w14:textId="0684E96E" w:rsidR="008C7C02" w:rsidRPr="00E003CA" w:rsidRDefault="00806EB9" w:rsidP="00B60C0E">
      <w:pPr>
        <w:pStyle w:val="Heading2"/>
        <w:numPr>
          <w:ilvl w:val="0"/>
          <w:numId w:val="1"/>
        </w:numPr>
        <w:rPr>
          <w:b/>
          <w:bCs/>
        </w:rPr>
      </w:pPr>
      <w:bookmarkStart w:id="16" w:name="_Toc141101089"/>
      <w:r>
        <w:rPr>
          <w:b/>
          <w:bCs/>
        </w:rPr>
        <w:t>Upgrade f</w:t>
      </w:r>
      <w:r w:rsidR="008C7C02" w:rsidRPr="00E003CA">
        <w:rPr>
          <w:b/>
          <w:bCs/>
        </w:rPr>
        <w:t>eedback</w:t>
      </w:r>
      <w:r w:rsidR="00B60C0E" w:rsidRPr="00E003CA">
        <w:rPr>
          <w:b/>
          <w:bCs/>
        </w:rPr>
        <w:t>:</w:t>
      </w:r>
      <w:bookmarkEnd w:id="16"/>
    </w:p>
    <w:p w14:paraId="23D89C27" w14:textId="551D263B" w:rsidR="008C7C02" w:rsidRPr="00A43E48" w:rsidRDefault="00806EB9" w:rsidP="008C7C02">
      <w:pPr>
        <w:pStyle w:val="ListParagraph"/>
        <w:numPr>
          <w:ilvl w:val="1"/>
          <w:numId w:val="1"/>
        </w:numPr>
        <w:jc w:val="both"/>
        <w:rPr>
          <w:b/>
        </w:rPr>
      </w:pPr>
      <w:r>
        <w:t>You</w:t>
      </w:r>
      <w:r w:rsidR="008C7C02">
        <w:t xml:space="preserve"> will receive </w:t>
      </w:r>
      <w:r w:rsidR="00DD617B">
        <w:t xml:space="preserve">verbal feedback after the upgrade and </w:t>
      </w:r>
      <w:r w:rsidR="008C7C02">
        <w:t xml:space="preserve">written feedback </w:t>
      </w:r>
      <w:r w:rsidR="00DD617B">
        <w:t xml:space="preserve">will be provided by the examiners by competing the </w:t>
      </w:r>
      <w:r w:rsidR="00465745">
        <w:t xml:space="preserve">upgrade examiner’s </w:t>
      </w:r>
      <w:r w:rsidR="00DD617B">
        <w:t xml:space="preserve">form on </w:t>
      </w:r>
      <w:proofErr w:type="spellStart"/>
      <w:r w:rsidR="00DD617B">
        <w:t>myPGR</w:t>
      </w:r>
      <w:proofErr w:type="spellEnd"/>
      <w:r w:rsidR="00DD617B">
        <w:t>, which i</w:t>
      </w:r>
      <w:r w:rsidR="006456D2">
        <w:t>s</w:t>
      </w:r>
      <w:r w:rsidR="00DD617B">
        <w:t xml:space="preserve"> then shared with </w:t>
      </w:r>
      <w:r w:rsidR="00465745">
        <w:t>you</w:t>
      </w:r>
      <w:r w:rsidR="00DD617B">
        <w:t>.</w:t>
      </w:r>
      <w:r w:rsidR="008C7C02">
        <w:t xml:space="preserve"> </w:t>
      </w:r>
    </w:p>
    <w:p w14:paraId="2EA4BBF2" w14:textId="594D6ED7" w:rsidR="00A43E48" w:rsidRPr="00685596" w:rsidRDefault="00A43E48" w:rsidP="008C7C02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Feedback </w:t>
      </w:r>
      <w:r w:rsidR="00465745">
        <w:t>will be</w:t>
      </w:r>
      <w:r w:rsidR="005453ED">
        <w:t xml:space="preserve"> </w:t>
      </w:r>
      <w:r>
        <w:t>constructive highlighting what was done well</w:t>
      </w:r>
      <w:r w:rsidR="00DC21A8">
        <w:t>,</w:t>
      </w:r>
      <w:r>
        <w:t xml:space="preserve"> as well as areas for improvement.</w:t>
      </w:r>
    </w:p>
    <w:p w14:paraId="062ABEF4" w14:textId="155241CD" w:rsidR="00105C45" w:rsidRPr="008677E3" w:rsidRDefault="00105C45" w:rsidP="008C7C02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Corrections should be seen as a learning opportunity to help </w:t>
      </w:r>
      <w:r w:rsidR="00465745">
        <w:t>you</w:t>
      </w:r>
      <w:r>
        <w:t xml:space="preserve"> improve </w:t>
      </w:r>
      <w:r w:rsidR="00465745">
        <w:t>your</w:t>
      </w:r>
      <w:r>
        <w:t xml:space="preserve"> work.</w:t>
      </w:r>
    </w:p>
    <w:p w14:paraId="2105E7EA" w14:textId="6F1D9D7C" w:rsidR="143C579C" w:rsidRDefault="00B432C4" w:rsidP="154C2F46">
      <w:pPr>
        <w:pStyle w:val="ListParagraph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In the event of corrections, t</w:t>
      </w:r>
      <w:r w:rsidR="143C579C" w:rsidRPr="154C2F46">
        <w:rPr>
          <w:rFonts w:eastAsiaTheme="minorEastAsia"/>
        </w:rPr>
        <w:t xml:space="preserve">he panel </w:t>
      </w:r>
      <w:r w:rsidR="00465745">
        <w:rPr>
          <w:rFonts w:eastAsiaTheme="minorEastAsia"/>
        </w:rPr>
        <w:t>will</w:t>
      </w:r>
      <w:r w:rsidR="143C579C" w:rsidRPr="154C2F46">
        <w:rPr>
          <w:rFonts w:eastAsiaTheme="minorEastAsia"/>
        </w:rPr>
        <w:t xml:space="preserve"> clearly tell </w:t>
      </w:r>
      <w:r w:rsidR="00465745">
        <w:rPr>
          <w:rFonts w:eastAsiaTheme="minorEastAsia"/>
        </w:rPr>
        <w:t>you</w:t>
      </w:r>
      <w:r w:rsidR="143C579C" w:rsidRPr="154C2F46">
        <w:rPr>
          <w:rFonts w:eastAsiaTheme="minorEastAsia"/>
        </w:rPr>
        <w:t xml:space="preserve"> how they would like the amendments to be presented - track changes, highlighted etc.</w:t>
      </w:r>
    </w:p>
    <w:p w14:paraId="5B60EF02" w14:textId="77777777" w:rsidR="008C4CF5" w:rsidRPr="008C4CF5" w:rsidRDefault="008C4CF5" w:rsidP="00C662E8">
      <w:pPr>
        <w:jc w:val="both"/>
        <w:rPr>
          <w:b/>
        </w:rPr>
      </w:pPr>
    </w:p>
    <w:sectPr w:rsidR="008C4CF5" w:rsidRPr="008C4CF5" w:rsidSect="0089419B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3ABF" w14:textId="77777777" w:rsidR="00444153" w:rsidRDefault="00444153" w:rsidP="003A4921">
      <w:pPr>
        <w:spacing w:after="0" w:line="240" w:lineRule="auto"/>
      </w:pPr>
      <w:r>
        <w:separator/>
      </w:r>
    </w:p>
  </w:endnote>
  <w:endnote w:type="continuationSeparator" w:id="0">
    <w:p w14:paraId="14BED767" w14:textId="77777777" w:rsidR="00444153" w:rsidRDefault="00444153" w:rsidP="003A4921">
      <w:pPr>
        <w:spacing w:after="0" w:line="240" w:lineRule="auto"/>
      </w:pPr>
      <w:r>
        <w:continuationSeparator/>
      </w:r>
    </w:p>
  </w:endnote>
  <w:endnote w:type="continuationNotice" w:id="1">
    <w:p w14:paraId="38A67022" w14:textId="77777777" w:rsidR="00444153" w:rsidRDefault="00444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02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90D4F" w14:textId="0938B95E" w:rsidR="000D2145" w:rsidRDefault="000D2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0DAEE" w14:textId="77777777" w:rsidR="00DC21A8" w:rsidRDefault="00DC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4F3" w14:textId="77777777" w:rsidR="00444153" w:rsidRDefault="00444153" w:rsidP="003A4921">
      <w:pPr>
        <w:spacing w:after="0" w:line="240" w:lineRule="auto"/>
      </w:pPr>
      <w:r>
        <w:separator/>
      </w:r>
    </w:p>
  </w:footnote>
  <w:footnote w:type="continuationSeparator" w:id="0">
    <w:p w14:paraId="4DE52A9A" w14:textId="77777777" w:rsidR="00444153" w:rsidRDefault="00444153" w:rsidP="003A4921">
      <w:pPr>
        <w:spacing w:after="0" w:line="240" w:lineRule="auto"/>
      </w:pPr>
      <w:r>
        <w:continuationSeparator/>
      </w:r>
    </w:p>
  </w:footnote>
  <w:footnote w:type="continuationNotice" w:id="1">
    <w:p w14:paraId="7D8F2A15" w14:textId="77777777" w:rsidR="00444153" w:rsidRDefault="00444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B8D9" w14:textId="5E0FE313" w:rsidR="00416645" w:rsidRPr="00416645" w:rsidRDefault="00416645">
    <w:pPr>
      <w:pStyle w:val="Header"/>
      <w:rPr>
        <w:i/>
      </w:rPr>
    </w:pPr>
    <w:r w:rsidRPr="003A4921">
      <w:rPr>
        <w:i/>
      </w:rPr>
      <w:t>Version 1</w:t>
    </w:r>
    <w:r>
      <w:rPr>
        <w:i/>
      </w:rPr>
      <w:t xml:space="preserve"> – July 2023</w:t>
    </w:r>
    <w:r w:rsidRPr="003A4921">
      <w:rPr>
        <w:i/>
      </w:rPr>
      <w:ptab w:relativeTo="margin" w:alignment="center" w:leader="none"/>
    </w:r>
    <w:r w:rsidRPr="003A4921">
      <w:rPr>
        <w:i/>
      </w:rPr>
      <w:t xml:space="preserve">HLS PGR upgrade </w:t>
    </w:r>
    <w:r>
      <w:rPr>
        <w:i/>
      </w:rPr>
      <w:t>student guidance</w:t>
    </w:r>
  </w:p>
  <w:p w14:paraId="5DC039D1" w14:textId="77777777" w:rsidR="00523FED" w:rsidRPr="003A4921" w:rsidRDefault="00523FE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773"/>
    <w:multiLevelType w:val="hybridMultilevel"/>
    <w:tmpl w:val="D7740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D8A"/>
    <w:multiLevelType w:val="hybridMultilevel"/>
    <w:tmpl w:val="4A4E29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23AD8"/>
    <w:multiLevelType w:val="hybridMultilevel"/>
    <w:tmpl w:val="732E0A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76BB"/>
    <w:multiLevelType w:val="hybridMultilevel"/>
    <w:tmpl w:val="897E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00E0"/>
    <w:multiLevelType w:val="hybridMultilevel"/>
    <w:tmpl w:val="612C5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520"/>
    <w:multiLevelType w:val="hybridMultilevel"/>
    <w:tmpl w:val="B19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0990">
    <w:abstractNumId w:val="0"/>
  </w:num>
  <w:num w:numId="2" w16cid:durableId="788083258">
    <w:abstractNumId w:val="1"/>
  </w:num>
  <w:num w:numId="3" w16cid:durableId="1157651175">
    <w:abstractNumId w:val="3"/>
  </w:num>
  <w:num w:numId="4" w16cid:durableId="668949879">
    <w:abstractNumId w:val="4"/>
  </w:num>
  <w:num w:numId="5" w16cid:durableId="1913854228">
    <w:abstractNumId w:val="2"/>
  </w:num>
  <w:num w:numId="6" w16cid:durableId="1687053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C2"/>
    <w:rsid w:val="00016ECC"/>
    <w:rsid w:val="00034A37"/>
    <w:rsid w:val="00043EA5"/>
    <w:rsid w:val="00074833"/>
    <w:rsid w:val="000B794A"/>
    <w:rsid w:val="000C1417"/>
    <w:rsid w:val="000C32E5"/>
    <w:rsid w:val="000C670B"/>
    <w:rsid w:val="000D2145"/>
    <w:rsid w:val="000F189F"/>
    <w:rsid w:val="00104AB2"/>
    <w:rsid w:val="00105C45"/>
    <w:rsid w:val="00114C43"/>
    <w:rsid w:val="00124751"/>
    <w:rsid w:val="001247AD"/>
    <w:rsid w:val="001367E2"/>
    <w:rsid w:val="0014414F"/>
    <w:rsid w:val="00144715"/>
    <w:rsid w:val="00147A62"/>
    <w:rsid w:val="00157F34"/>
    <w:rsid w:val="00163937"/>
    <w:rsid w:val="0016773F"/>
    <w:rsid w:val="00170B85"/>
    <w:rsid w:val="001747FD"/>
    <w:rsid w:val="0018050B"/>
    <w:rsid w:val="00185882"/>
    <w:rsid w:val="001902B7"/>
    <w:rsid w:val="00196324"/>
    <w:rsid w:val="00197791"/>
    <w:rsid w:val="001B0D7D"/>
    <w:rsid w:val="001C19A0"/>
    <w:rsid w:val="001C6AAF"/>
    <w:rsid w:val="001E7643"/>
    <w:rsid w:val="0020443E"/>
    <w:rsid w:val="002069CC"/>
    <w:rsid w:val="0020797D"/>
    <w:rsid w:val="0021114F"/>
    <w:rsid w:val="00211F63"/>
    <w:rsid w:val="002176CC"/>
    <w:rsid w:val="002301A6"/>
    <w:rsid w:val="00232AC4"/>
    <w:rsid w:val="0023644E"/>
    <w:rsid w:val="00240CC6"/>
    <w:rsid w:val="002436A0"/>
    <w:rsid w:val="00245A89"/>
    <w:rsid w:val="00246116"/>
    <w:rsid w:val="00261697"/>
    <w:rsid w:val="002629AB"/>
    <w:rsid w:val="00262E36"/>
    <w:rsid w:val="00293A58"/>
    <w:rsid w:val="002A1BF5"/>
    <w:rsid w:val="002C1EBE"/>
    <w:rsid w:val="002C40CD"/>
    <w:rsid w:val="002C459E"/>
    <w:rsid w:val="002D25BF"/>
    <w:rsid w:val="002D730B"/>
    <w:rsid w:val="002E73C2"/>
    <w:rsid w:val="00300799"/>
    <w:rsid w:val="0030705F"/>
    <w:rsid w:val="003150A4"/>
    <w:rsid w:val="00323728"/>
    <w:rsid w:val="00330C95"/>
    <w:rsid w:val="00347B06"/>
    <w:rsid w:val="00352894"/>
    <w:rsid w:val="003766AC"/>
    <w:rsid w:val="00381478"/>
    <w:rsid w:val="0039312D"/>
    <w:rsid w:val="003A4921"/>
    <w:rsid w:val="003B1270"/>
    <w:rsid w:val="003D2AFC"/>
    <w:rsid w:val="003E274B"/>
    <w:rsid w:val="0040793F"/>
    <w:rsid w:val="00416645"/>
    <w:rsid w:val="00422206"/>
    <w:rsid w:val="00426E49"/>
    <w:rsid w:val="00427EBC"/>
    <w:rsid w:val="00441FEA"/>
    <w:rsid w:val="004438F3"/>
    <w:rsid w:val="00444153"/>
    <w:rsid w:val="004526FE"/>
    <w:rsid w:val="00453062"/>
    <w:rsid w:val="00465745"/>
    <w:rsid w:val="00465B51"/>
    <w:rsid w:val="0046658B"/>
    <w:rsid w:val="00471F0F"/>
    <w:rsid w:val="00480A18"/>
    <w:rsid w:val="004814F4"/>
    <w:rsid w:val="00496EC7"/>
    <w:rsid w:val="004D7391"/>
    <w:rsid w:val="004DBDE3"/>
    <w:rsid w:val="004E1ADF"/>
    <w:rsid w:val="004E3B0C"/>
    <w:rsid w:val="004F0519"/>
    <w:rsid w:val="004F6B53"/>
    <w:rsid w:val="00500618"/>
    <w:rsid w:val="0050522C"/>
    <w:rsid w:val="005232DA"/>
    <w:rsid w:val="00523FED"/>
    <w:rsid w:val="005276DD"/>
    <w:rsid w:val="005453ED"/>
    <w:rsid w:val="00547D08"/>
    <w:rsid w:val="00550C5E"/>
    <w:rsid w:val="00552D51"/>
    <w:rsid w:val="00554619"/>
    <w:rsid w:val="00561EEF"/>
    <w:rsid w:val="005900D1"/>
    <w:rsid w:val="005A3880"/>
    <w:rsid w:val="005B2FBE"/>
    <w:rsid w:val="005D13B2"/>
    <w:rsid w:val="005E5AA3"/>
    <w:rsid w:val="005F622F"/>
    <w:rsid w:val="006143DD"/>
    <w:rsid w:val="00622826"/>
    <w:rsid w:val="0062394C"/>
    <w:rsid w:val="00633F16"/>
    <w:rsid w:val="006353F3"/>
    <w:rsid w:val="0063770A"/>
    <w:rsid w:val="006456D2"/>
    <w:rsid w:val="00660696"/>
    <w:rsid w:val="00670647"/>
    <w:rsid w:val="00670A56"/>
    <w:rsid w:val="00673E96"/>
    <w:rsid w:val="00684781"/>
    <w:rsid w:val="00684F5C"/>
    <w:rsid w:val="00685596"/>
    <w:rsid w:val="006C04FE"/>
    <w:rsid w:val="006C7947"/>
    <w:rsid w:val="006D0BCC"/>
    <w:rsid w:val="006D27A9"/>
    <w:rsid w:val="006E1DF2"/>
    <w:rsid w:val="006E596C"/>
    <w:rsid w:val="00714C7E"/>
    <w:rsid w:val="00743655"/>
    <w:rsid w:val="00751E3D"/>
    <w:rsid w:val="00782226"/>
    <w:rsid w:val="00782525"/>
    <w:rsid w:val="00784393"/>
    <w:rsid w:val="00787C1B"/>
    <w:rsid w:val="00793A4C"/>
    <w:rsid w:val="00796C81"/>
    <w:rsid w:val="007D6307"/>
    <w:rsid w:val="007E08D7"/>
    <w:rsid w:val="007E5E5E"/>
    <w:rsid w:val="007F0911"/>
    <w:rsid w:val="007F0FAE"/>
    <w:rsid w:val="007F1ABA"/>
    <w:rsid w:val="00806EB9"/>
    <w:rsid w:val="00807B52"/>
    <w:rsid w:val="00812D24"/>
    <w:rsid w:val="008137CC"/>
    <w:rsid w:val="00820FEE"/>
    <w:rsid w:val="00825244"/>
    <w:rsid w:val="0083101C"/>
    <w:rsid w:val="00847C73"/>
    <w:rsid w:val="00847FCC"/>
    <w:rsid w:val="008512ED"/>
    <w:rsid w:val="00852EB5"/>
    <w:rsid w:val="008540A4"/>
    <w:rsid w:val="00854E8F"/>
    <w:rsid w:val="00860200"/>
    <w:rsid w:val="00860CD7"/>
    <w:rsid w:val="00865E2A"/>
    <w:rsid w:val="008677E3"/>
    <w:rsid w:val="00873F23"/>
    <w:rsid w:val="00876759"/>
    <w:rsid w:val="008857B8"/>
    <w:rsid w:val="00885C66"/>
    <w:rsid w:val="0088673D"/>
    <w:rsid w:val="0089003E"/>
    <w:rsid w:val="0089419B"/>
    <w:rsid w:val="008A6412"/>
    <w:rsid w:val="008C1834"/>
    <w:rsid w:val="008C2127"/>
    <w:rsid w:val="008C495E"/>
    <w:rsid w:val="008C4CF5"/>
    <w:rsid w:val="008C691D"/>
    <w:rsid w:val="008C7C02"/>
    <w:rsid w:val="008D7EEC"/>
    <w:rsid w:val="00900FA6"/>
    <w:rsid w:val="00902D26"/>
    <w:rsid w:val="00903592"/>
    <w:rsid w:val="00906392"/>
    <w:rsid w:val="009203E3"/>
    <w:rsid w:val="009209EA"/>
    <w:rsid w:val="00944E8C"/>
    <w:rsid w:val="0094583B"/>
    <w:rsid w:val="00947625"/>
    <w:rsid w:val="009552EB"/>
    <w:rsid w:val="00956898"/>
    <w:rsid w:val="00964BBB"/>
    <w:rsid w:val="00966D60"/>
    <w:rsid w:val="0097069A"/>
    <w:rsid w:val="00991FE8"/>
    <w:rsid w:val="009B0CC8"/>
    <w:rsid w:val="009B5828"/>
    <w:rsid w:val="009D1BB3"/>
    <w:rsid w:val="009D2BCD"/>
    <w:rsid w:val="009F064B"/>
    <w:rsid w:val="009F706A"/>
    <w:rsid w:val="009F7EA7"/>
    <w:rsid w:val="00A0031E"/>
    <w:rsid w:val="00A006C5"/>
    <w:rsid w:val="00A03E3E"/>
    <w:rsid w:val="00A32746"/>
    <w:rsid w:val="00A43E48"/>
    <w:rsid w:val="00A5174E"/>
    <w:rsid w:val="00A6212D"/>
    <w:rsid w:val="00A64AFC"/>
    <w:rsid w:val="00A71E74"/>
    <w:rsid w:val="00A739AF"/>
    <w:rsid w:val="00A81931"/>
    <w:rsid w:val="00A85CFB"/>
    <w:rsid w:val="00A906C6"/>
    <w:rsid w:val="00A90E6C"/>
    <w:rsid w:val="00AA17E3"/>
    <w:rsid w:val="00AA262A"/>
    <w:rsid w:val="00AC58FA"/>
    <w:rsid w:val="00AD44AD"/>
    <w:rsid w:val="00AD543D"/>
    <w:rsid w:val="00AD7BCC"/>
    <w:rsid w:val="00AE1E58"/>
    <w:rsid w:val="00AE52F4"/>
    <w:rsid w:val="00B015D8"/>
    <w:rsid w:val="00B0369C"/>
    <w:rsid w:val="00B27037"/>
    <w:rsid w:val="00B334A1"/>
    <w:rsid w:val="00B4268B"/>
    <w:rsid w:val="00B432C4"/>
    <w:rsid w:val="00B44487"/>
    <w:rsid w:val="00B46736"/>
    <w:rsid w:val="00B50B90"/>
    <w:rsid w:val="00B532AD"/>
    <w:rsid w:val="00B60C0E"/>
    <w:rsid w:val="00B77D74"/>
    <w:rsid w:val="00BA11EB"/>
    <w:rsid w:val="00BB73E4"/>
    <w:rsid w:val="00BC0F90"/>
    <w:rsid w:val="00BC4AE0"/>
    <w:rsid w:val="00BC688D"/>
    <w:rsid w:val="00BD00C7"/>
    <w:rsid w:val="00BD52E6"/>
    <w:rsid w:val="00C001E7"/>
    <w:rsid w:val="00C03748"/>
    <w:rsid w:val="00C105CE"/>
    <w:rsid w:val="00C1090F"/>
    <w:rsid w:val="00C1629F"/>
    <w:rsid w:val="00C275A5"/>
    <w:rsid w:val="00C3079B"/>
    <w:rsid w:val="00C33B91"/>
    <w:rsid w:val="00C3791B"/>
    <w:rsid w:val="00C42D61"/>
    <w:rsid w:val="00C519A7"/>
    <w:rsid w:val="00C60FDF"/>
    <w:rsid w:val="00C662E8"/>
    <w:rsid w:val="00C73589"/>
    <w:rsid w:val="00C86313"/>
    <w:rsid w:val="00C90715"/>
    <w:rsid w:val="00CB15FC"/>
    <w:rsid w:val="00CB1822"/>
    <w:rsid w:val="00CB24A0"/>
    <w:rsid w:val="00CB5DDF"/>
    <w:rsid w:val="00CB6645"/>
    <w:rsid w:val="00CB79A5"/>
    <w:rsid w:val="00CD4920"/>
    <w:rsid w:val="00CD4E4C"/>
    <w:rsid w:val="00D10D79"/>
    <w:rsid w:val="00D20A12"/>
    <w:rsid w:val="00D52D0B"/>
    <w:rsid w:val="00D5553F"/>
    <w:rsid w:val="00D56949"/>
    <w:rsid w:val="00D902FE"/>
    <w:rsid w:val="00DA308E"/>
    <w:rsid w:val="00DA6E8D"/>
    <w:rsid w:val="00DA7A7E"/>
    <w:rsid w:val="00DB3541"/>
    <w:rsid w:val="00DB5607"/>
    <w:rsid w:val="00DC21A8"/>
    <w:rsid w:val="00DC7229"/>
    <w:rsid w:val="00DD617B"/>
    <w:rsid w:val="00DF4D6B"/>
    <w:rsid w:val="00DF5F14"/>
    <w:rsid w:val="00E003CA"/>
    <w:rsid w:val="00E06CD3"/>
    <w:rsid w:val="00E24667"/>
    <w:rsid w:val="00E3488C"/>
    <w:rsid w:val="00E350E9"/>
    <w:rsid w:val="00E407BA"/>
    <w:rsid w:val="00E46339"/>
    <w:rsid w:val="00E47F88"/>
    <w:rsid w:val="00E54261"/>
    <w:rsid w:val="00E6368F"/>
    <w:rsid w:val="00E665BE"/>
    <w:rsid w:val="00E82B35"/>
    <w:rsid w:val="00E840A0"/>
    <w:rsid w:val="00E85F0A"/>
    <w:rsid w:val="00E90DF2"/>
    <w:rsid w:val="00E96B08"/>
    <w:rsid w:val="00EB6621"/>
    <w:rsid w:val="00ED0D58"/>
    <w:rsid w:val="00ED54DE"/>
    <w:rsid w:val="00EE4B18"/>
    <w:rsid w:val="00EE76D0"/>
    <w:rsid w:val="00EF5582"/>
    <w:rsid w:val="00F07B1B"/>
    <w:rsid w:val="00F12C6B"/>
    <w:rsid w:val="00F27011"/>
    <w:rsid w:val="00F3460C"/>
    <w:rsid w:val="00F40653"/>
    <w:rsid w:val="00F4514F"/>
    <w:rsid w:val="00F52910"/>
    <w:rsid w:val="00F53763"/>
    <w:rsid w:val="00F6334B"/>
    <w:rsid w:val="00F73919"/>
    <w:rsid w:val="00F84297"/>
    <w:rsid w:val="00F858AF"/>
    <w:rsid w:val="00F85962"/>
    <w:rsid w:val="00F85DF1"/>
    <w:rsid w:val="00F956E4"/>
    <w:rsid w:val="00F95A44"/>
    <w:rsid w:val="00FA0F91"/>
    <w:rsid w:val="00FA65B6"/>
    <w:rsid w:val="00FC0EFB"/>
    <w:rsid w:val="00FC50C1"/>
    <w:rsid w:val="00FC6C15"/>
    <w:rsid w:val="00FD18E3"/>
    <w:rsid w:val="00FD5771"/>
    <w:rsid w:val="00FE0A2C"/>
    <w:rsid w:val="00FE693C"/>
    <w:rsid w:val="00FF439F"/>
    <w:rsid w:val="00FF6EDB"/>
    <w:rsid w:val="01B9B134"/>
    <w:rsid w:val="01D2D991"/>
    <w:rsid w:val="01D3D48B"/>
    <w:rsid w:val="029292DC"/>
    <w:rsid w:val="02A1203C"/>
    <w:rsid w:val="036FA4EC"/>
    <w:rsid w:val="03E5FA13"/>
    <w:rsid w:val="043CF09D"/>
    <w:rsid w:val="0513F762"/>
    <w:rsid w:val="053981DE"/>
    <w:rsid w:val="05662AB3"/>
    <w:rsid w:val="05CC5367"/>
    <w:rsid w:val="062FB041"/>
    <w:rsid w:val="071560E7"/>
    <w:rsid w:val="0747E662"/>
    <w:rsid w:val="09571049"/>
    <w:rsid w:val="09CF8C30"/>
    <w:rsid w:val="0A5D19B4"/>
    <w:rsid w:val="0AE0D397"/>
    <w:rsid w:val="0B083CA3"/>
    <w:rsid w:val="0BDF51C5"/>
    <w:rsid w:val="0C1B5785"/>
    <w:rsid w:val="0CA9BDC0"/>
    <w:rsid w:val="0D56D9F4"/>
    <w:rsid w:val="0DA5CD5B"/>
    <w:rsid w:val="0EB40BAA"/>
    <w:rsid w:val="0F52F847"/>
    <w:rsid w:val="10EFDD93"/>
    <w:rsid w:val="10F6E804"/>
    <w:rsid w:val="1154BC28"/>
    <w:rsid w:val="11B3862B"/>
    <w:rsid w:val="12067FC4"/>
    <w:rsid w:val="127D6755"/>
    <w:rsid w:val="128BADF4"/>
    <w:rsid w:val="12FAFD37"/>
    <w:rsid w:val="12FC6BB2"/>
    <w:rsid w:val="1315CF80"/>
    <w:rsid w:val="13877CCD"/>
    <w:rsid w:val="13AF373E"/>
    <w:rsid w:val="14277E55"/>
    <w:rsid w:val="142E88C6"/>
    <w:rsid w:val="143C579C"/>
    <w:rsid w:val="145BB3DB"/>
    <w:rsid w:val="14F23EB0"/>
    <w:rsid w:val="154265FE"/>
    <w:rsid w:val="154C2F46"/>
    <w:rsid w:val="15CA5927"/>
    <w:rsid w:val="15F72D44"/>
    <w:rsid w:val="167B5F48"/>
    <w:rsid w:val="168E0F11"/>
    <w:rsid w:val="16D8AD38"/>
    <w:rsid w:val="16E99EFD"/>
    <w:rsid w:val="178D0226"/>
    <w:rsid w:val="1867F074"/>
    <w:rsid w:val="1901F9E9"/>
    <w:rsid w:val="1B4B8A7F"/>
    <w:rsid w:val="1B7F599B"/>
    <w:rsid w:val="1B896DE1"/>
    <w:rsid w:val="1BA05F2A"/>
    <w:rsid w:val="1BC1529C"/>
    <w:rsid w:val="1D0BEB81"/>
    <w:rsid w:val="1D39CE00"/>
    <w:rsid w:val="1D5D2416"/>
    <w:rsid w:val="1DAFD04B"/>
    <w:rsid w:val="1E1BFDDC"/>
    <w:rsid w:val="1E25C63A"/>
    <w:rsid w:val="1E2E3B6F"/>
    <w:rsid w:val="1F3172D1"/>
    <w:rsid w:val="202E056F"/>
    <w:rsid w:val="20DAAC5F"/>
    <w:rsid w:val="20E31A50"/>
    <w:rsid w:val="2102EB18"/>
    <w:rsid w:val="210409FC"/>
    <w:rsid w:val="2186A9B9"/>
    <w:rsid w:val="21FDBF3A"/>
    <w:rsid w:val="238B3A05"/>
    <w:rsid w:val="23E33132"/>
    <w:rsid w:val="241BF606"/>
    <w:rsid w:val="25AA70A7"/>
    <w:rsid w:val="2647A29C"/>
    <w:rsid w:val="27C12C8B"/>
    <w:rsid w:val="27E372FD"/>
    <w:rsid w:val="284FDD77"/>
    <w:rsid w:val="28701045"/>
    <w:rsid w:val="2A0116FA"/>
    <w:rsid w:val="2B4E31BE"/>
    <w:rsid w:val="2BD33299"/>
    <w:rsid w:val="2BDDEC43"/>
    <w:rsid w:val="2D2C3828"/>
    <w:rsid w:val="2D3F616F"/>
    <w:rsid w:val="2D7B344D"/>
    <w:rsid w:val="2D899130"/>
    <w:rsid w:val="2F158D05"/>
    <w:rsid w:val="2F18D6E7"/>
    <w:rsid w:val="2F842859"/>
    <w:rsid w:val="2FDE6932"/>
    <w:rsid w:val="3042C495"/>
    <w:rsid w:val="3061F9CD"/>
    <w:rsid w:val="30692A19"/>
    <w:rsid w:val="31B2AD1C"/>
    <w:rsid w:val="31D27145"/>
    <w:rsid w:val="323048B5"/>
    <w:rsid w:val="324EA570"/>
    <w:rsid w:val="325077A9"/>
    <w:rsid w:val="335CC74B"/>
    <w:rsid w:val="33DB852F"/>
    <w:rsid w:val="33EA75D1"/>
    <w:rsid w:val="33EC480A"/>
    <w:rsid w:val="348E0209"/>
    <w:rsid w:val="34E8F26E"/>
    <w:rsid w:val="35864632"/>
    <w:rsid w:val="36164570"/>
    <w:rsid w:val="3684C2CF"/>
    <w:rsid w:val="377E30E0"/>
    <w:rsid w:val="37B215D1"/>
    <w:rsid w:val="37FA659A"/>
    <w:rsid w:val="3808AC14"/>
    <w:rsid w:val="38209330"/>
    <w:rsid w:val="383F1702"/>
    <w:rsid w:val="38988D44"/>
    <w:rsid w:val="39A47C75"/>
    <w:rsid w:val="39F7B5B5"/>
    <w:rsid w:val="3A163E15"/>
    <w:rsid w:val="3ADB574D"/>
    <w:rsid w:val="3BE4547A"/>
    <w:rsid w:val="3C955FE0"/>
    <w:rsid w:val="3CB55152"/>
    <w:rsid w:val="3CEA8134"/>
    <w:rsid w:val="3E0F1A9A"/>
    <w:rsid w:val="3E76AC57"/>
    <w:rsid w:val="3E9D1E14"/>
    <w:rsid w:val="3FFD30CC"/>
    <w:rsid w:val="418F821A"/>
    <w:rsid w:val="419C2E26"/>
    <w:rsid w:val="42E0C4A8"/>
    <w:rsid w:val="43708F37"/>
    <w:rsid w:val="44B0C824"/>
    <w:rsid w:val="4574F1C6"/>
    <w:rsid w:val="46911EA0"/>
    <w:rsid w:val="470703D0"/>
    <w:rsid w:val="478F5FDB"/>
    <w:rsid w:val="479D0CD6"/>
    <w:rsid w:val="47FEF896"/>
    <w:rsid w:val="4867EF2D"/>
    <w:rsid w:val="4A48A2EE"/>
    <w:rsid w:val="4B64469B"/>
    <w:rsid w:val="4B6A13EF"/>
    <w:rsid w:val="4BFBBF25"/>
    <w:rsid w:val="4C4F5F99"/>
    <w:rsid w:val="4CB1E76D"/>
    <w:rsid w:val="4D5DABAF"/>
    <w:rsid w:val="4D87156F"/>
    <w:rsid w:val="4E4E5E8D"/>
    <w:rsid w:val="503D8512"/>
    <w:rsid w:val="50685D37"/>
    <w:rsid w:val="507ED8FD"/>
    <w:rsid w:val="5085F585"/>
    <w:rsid w:val="508BDA24"/>
    <w:rsid w:val="51434136"/>
    <w:rsid w:val="54CCE712"/>
    <w:rsid w:val="5551B1AA"/>
    <w:rsid w:val="55815739"/>
    <w:rsid w:val="57BEC348"/>
    <w:rsid w:val="585A46BF"/>
    <w:rsid w:val="59921B1A"/>
    <w:rsid w:val="59C55E8E"/>
    <w:rsid w:val="5A941B28"/>
    <w:rsid w:val="5AAFE3CA"/>
    <w:rsid w:val="5B6A593E"/>
    <w:rsid w:val="5BEC94E4"/>
    <w:rsid w:val="5C2B54AE"/>
    <w:rsid w:val="5C92346B"/>
    <w:rsid w:val="5D9B3198"/>
    <w:rsid w:val="5E048F03"/>
    <w:rsid w:val="5E05F0D7"/>
    <w:rsid w:val="5EA1FA00"/>
    <w:rsid w:val="5F5A011B"/>
    <w:rsid w:val="5FBF81A6"/>
    <w:rsid w:val="601BFC72"/>
    <w:rsid w:val="60427209"/>
    <w:rsid w:val="618F7B19"/>
    <w:rsid w:val="632BACA3"/>
    <w:rsid w:val="6421D511"/>
    <w:rsid w:val="649D4650"/>
    <w:rsid w:val="64A565AC"/>
    <w:rsid w:val="64B89D4B"/>
    <w:rsid w:val="6601B495"/>
    <w:rsid w:val="677FB8F5"/>
    <w:rsid w:val="685B0D2E"/>
    <w:rsid w:val="6876CD1C"/>
    <w:rsid w:val="69F316EF"/>
    <w:rsid w:val="6D7196E3"/>
    <w:rsid w:val="6D9D3013"/>
    <w:rsid w:val="6E225EFA"/>
    <w:rsid w:val="6E7630C7"/>
    <w:rsid w:val="6EA51855"/>
    <w:rsid w:val="6F15CAD2"/>
    <w:rsid w:val="6FC2118E"/>
    <w:rsid w:val="6FF1074E"/>
    <w:rsid w:val="72C55FF9"/>
    <w:rsid w:val="73588627"/>
    <w:rsid w:val="7439EB3D"/>
    <w:rsid w:val="74D94AB0"/>
    <w:rsid w:val="75A841F8"/>
    <w:rsid w:val="767B3171"/>
    <w:rsid w:val="768176E3"/>
    <w:rsid w:val="776EDF1D"/>
    <w:rsid w:val="7780A17D"/>
    <w:rsid w:val="7BB985BF"/>
    <w:rsid w:val="7CB3312E"/>
    <w:rsid w:val="7E871B60"/>
    <w:rsid w:val="7E9D8DE9"/>
    <w:rsid w:val="7ED79E20"/>
    <w:rsid w:val="7F1F7101"/>
    <w:rsid w:val="7FAAA333"/>
    <w:rsid w:val="7FF18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CE671"/>
  <w15:chartTrackingRefBased/>
  <w15:docId w15:val="{A2604D8A-491B-4FA2-8D32-7C7FF62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21"/>
  </w:style>
  <w:style w:type="paragraph" w:styleId="Footer">
    <w:name w:val="footer"/>
    <w:basedOn w:val="Normal"/>
    <w:link w:val="FooterChar"/>
    <w:uiPriority w:val="99"/>
    <w:unhideWhenUsed/>
    <w:rsid w:val="003A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21"/>
  </w:style>
  <w:style w:type="character" w:customStyle="1" w:styleId="Heading1Char">
    <w:name w:val="Heading 1 Char"/>
    <w:basedOn w:val="DefaultParagraphFont"/>
    <w:link w:val="Heading1"/>
    <w:uiPriority w:val="9"/>
    <w:rsid w:val="003A4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5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5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F0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95A4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5A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5A4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FF4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F439F"/>
    <w:pPr>
      <w:spacing w:after="100"/>
      <w:ind w:left="440"/>
    </w:pPr>
  </w:style>
  <w:style w:type="paragraph" w:styleId="Revision">
    <w:name w:val="Revision"/>
    <w:hidden/>
    <w:uiPriority w:val="99"/>
    <w:semiHidden/>
    <w:rsid w:val="00EF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.exeter.ac.uk/academic-policy-standards/tqa-manual/pgr/9-upgradefrommphiltodoctoralstudy/" TargetMode="External"/><Relationship Id="rId18" Type="http://schemas.openxmlformats.org/officeDocument/2006/relationships/hyperlink" Target="http://as.exeter.ac.uk/academic-policy-standards/tqa-manual/lts/unsatisfactoryprogres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s.exeter.ac.uk/academic-policy-standards/tqa-manual/lts/ilp/" TargetMode="External"/><Relationship Id="rId17" Type="http://schemas.openxmlformats.org/officeDocument/2006/relationships/hyperlink" Target="https://as.exeter.ac.uk/academic-policy-standards/tqa-manual/pgr/9-upgradefrommphiltodoctoralstu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.exeter.ac.uk/academic-policy-standards/tqa-manual/pgr/researchmisconduc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.exeter.ac.uk/academic-policy-standards/tqa-manual/pgr/9-upgradefrommphiltodoctoralstud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xeter.ac.uk/staff/policies/calendar/part1/regulation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.exeter.ac.uk/campusm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C7C23BB5CB41B944355ACB1100D1" ma:contentTypeVersion="36" ma:contentTypeDescription="Create a new document." ma:contentTypeScope="" ma:versionID="f9b28f45a9d23cab8c20e78c37d7a680">
  <xsd:schema xmlns:xsd="http://www.w3.org/2001/XMLSchema" xmlns:xs="http://www.w3.org/2001/XMLSchema" xmlns:p="http://schemas.microsoft.com/office/2006/metadata/properties" xmlns:ns3="c35f5a0d-22f9-4063-af47-d210f95398a3" xmlns:ns4="703dda01-68e9-4195-b499-76f4fc3cc8ff" targetNamespace="http://schemas.microsoft.com/office/2006/metadata/properties" ma:root="true" ma:fieldsID="edd0ded7ac3fada026fbb444d33904e4" ns3:_="" ns4:_="">
    <xsd:import namespace="c35f5a0d-22f9-4063-af47-d210f95398a3"/>
    <xsd:import namespace="703dda01-68e9-4195-b499-76f4fc3cc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5a0d-22f9-4063-af47-d210f953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da01-68e9-4195-b499-76f4fc3cc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35f5a0d-22f9-4063-af47-d210f95398a3" xsi:nil="true"/>
    <_activity xmlns="c35f5a0d-22f9-4063-af47-d210f95398a3" xsi:nil="true"/>
    <TeamsChannelId xmlns="c35f5a0d-22f9-4063-af47-d210f95398a3" xsi:nil="true"/>
    <Owner xmlns="c35f5a0d-22f9-4063-af47-d210f95398a3">
      <UserInfo>
        <DisplayName/>
        <AccountId xsi:nil="true"/>
        <AccountType/>
      </UserInfo>
    </Owner>
    <Math_Settings xmlns="c35f5a0d-22f9-4063-af47-d210f95398a3" xsi:nil="true"/>
    <DefaultSectionNames xmlns="c35f5a0d-22f9-4063-af47-d210f95398a3" xsi:nil="true"/>
    <AppVersion xmlns="c35f5a0d-22f9-4063-af47-d210f95398a3" xsi:nil="true"/>
    <IsNotebookLocked xmlns="c35f5a0d-22f9-4063-af47-d210f95398a3" xsi:nil="true"/>
    <NotebookType xmlns="c35f5a0d-22f9-4063-af47-d210f95398a3" xsi:nil="true"/>
    <Students xmlns="c35f5a0d-22f9-4063-af47-d210f95398a3">
      <UserInfo>
        <DisplayName/>
        <AccountId xsi:nil="true"/>
        <AccountType/>
      </UserInfo>
    </Students>
    <Student_Groups xmlns="c35f5a0d-22f9-4063-af47-d210f95398a3">
      <UserInfo>
        <DisplayName/>
        <AccountId xsi:nil="true"/>
        <AccountType/>
      </UserInfo>
    </Student_Groups>
    <LMS_Mappings xmlns="c35f5a0d-22f9-4063-af47-d210f95398a3" xsi:nil="true"/>
    <Invited_Students xmlns="c35f5a0d-22f9-4063-af47-d210f95398a3" xsi:nil="true"/>
    <CultureName xmlns="c35f5a0d-22f9-4063-af47-d210f95398a3" xsi:nil="true"/>
    <Distribution_Groups xmlns="c35f5a0d-22f9-4063-af47-d210f95398a3" xsi:nil="true"/>
    <Self_Registration_Enabled xmlns="c35f5a0d-22f9-4063-af47-d210f95398a3" xsi:nil="true"/>
    <Has_Teacher_Only_SectionGroup xmlns="c35f5a0d-22f9-4063-af47-d210f95398a3" xsi:nil="true"/>
    <Invited_Teachers xmlns="c35f5a0d-22f9-4063-af47-d210f95398a3" xsi:nil="true"/>
    <FolderType xmlns="c35f5a0d-22f9-4063-af47-d210f95398a3" xsi:nil="true"/>
    <Teachers xmlns="c35f5a0d-22f9-4063-af47-d210f95398a3">
      <UserInfo>
        <DisplayName/>
        <AccountId xsi:nil="true"/>
        <AccountType/>
      </UserInfo>
    </Teachers>
    <Templates xmlns="c35f5a0d-22f9-4063-af47-d210f95398a3" xsi:nil="true"/>
  </documentManagement>
</p:properties>
</file>

<file path=customXml/itemProps1.xml><?xml version="1.0" encoding="utf-8"?>
<ds:datastoreItem xmlns:ds="http://schemas.openxmlformats.org/officeDocument/2006/customXml" ds:itemID="{4F6C5684-3C23-410D-BD8E-F81F95BF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5a0d-22f9-4063-af47-d210f95398a3"/>
    <ds:schemaRef ds:uri="703dda01-68e9-4195-b499-76f4fc3cc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F1E79-0761-4E18-AA5C-270D3936E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61BE0B-A1C7-4E60-9364-878BD1278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54BF2-58AD-469E-899A-423B590D4643}">
  <ds:schemaRefs>
    <ds:schemaRef ds:uri="http://schemas.microsoft.com/office/2006/metadata/properties"/>
    <ds:schemaRef ds:uri="http://schemas.microsoft.com/office/infopath/2007/PartnerControls"/>
    <ds:schemaRef ds:uri="c35f5a0d-22f9-4063-af47-d210f9539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14462</CharactersWithSpaces>
  <SharedDoc>false</SharedDoc>
  <HLinks>
    <vt:vector size="144" baseType="variant">
      <vt:variant>
        <vt:i4>6422560</vt:i4>
      </vt:variant>
      <vt:variant>
        <vt:i4>111</vt:i4>
      </vt:variant>
      <vt:variant>
        <vt:i4>0</vt:i4>
      </vt:variant>
      <vt:variant>
        <vt:i4>5</vt:i4>
      </vt:variant>
      <vt:variant>
        <vt:lpwstr>http://as.exeter.ac.uk/academic-policy-standards/tqa-manual/lts/unsatisfactoryprogress/</vt:lpwstr>
      </vt:variant>
      <vt:variant>
        <vt:lpwstr/>
      </vt:variant>
      <vt:variant>
        <vt:i4>1376282</vt:i4>
      </vt:variant>
      <vt:variant>
        <vt:i4>108</vt:i4>
      </vt:variant>
      <vt:variant>
        <vt:i4>0</vt:i4>
      </vt:variant>
      <vt:variant>
        <vt:i4>5</vt:i4>
      </vt:variant>
      <vt:variant>
        <vt:lpwstr>https://as.exeter.ac.uk/academic-policy-standards/tqa-manual/pgr/9-upgradefrommphiltodoctoralstudy/</vt:lpwstr>
      </vt:variant>
      <vt:variant>
        <vt:lpwstr>Annex-2-Upgrade-Vivas-by-Video-link</vt:lpwstr>
      </vt:variant>
      <vt:variant>
        <vt:i4>458771</vt:i4>
      </vt:variant>
      <vt:variant>
        <vt:i4>105</vt:i4>
      </vt:variant>
      <vt:variant>
        <vt:i4>0</vt:i4>
      </vt:variant>
      <vt:variant>
        <vt:i4>5</vt:i4>
      </vt:variant>
      <vt:variant>
        <vt:lpwstr>https://as.exeter.ac.uk/academic-policy-standards/tqa-manual/pgr/researchmisconduct/</vt:lpwstr>
      </vt:variant>
      <vt:variant>
        <vt:lpwstr/>
      </vt:variant>
      <vt:variant>
        <vt:i4>1638408</vt:i4>
      </vt:variant>
      <vt:variant>
        <vt:i4>102</vt:i4>
      </vt:variant>
      <vt:variant>
        <vt:i4>0</vt:i4>
      </vt:variant>
      <vt:variant>
        <vt:i4>5</vt:i4>
      </vt:variant>
      <vt:variant>
        <vt:lpwstr>https://www.exeter.ac.uk/staff/policies/calendar/part1/regulations/</vt:lpwstr>
      </vt:variant>
      <vt:variant>
        <vt:lpwstr>collapseTwentynine</vt:lpwstr>
      </vt:variant>
      <vt:variant>
        <vt:i4>4259851</vt:i4>
      </vt:variant>
      <vt:variant>
        <vt:i4>99</vt:i4>
      </vt:variant>
      <vt:variant>
        <vt:i4>0</vt:i4>
      </vt:variant>
      <vt:variant>
        <vt:i4>5</vt:i4>
      </vt:variant>
      <vt:variant>
        <vt:lpwstr>https://as.exeter.ac.uk/academic-policy-standards/tqa-manual/pgr/supervisionofresearchdegreestudents/</vt:lpwstr>
      </vt:variant>
      <vt:variant>
        <vt:lpwstr/>
      </vt:variant>
      <vt:variant>
        <vt:i4>7864360</vt:i4>
      </vt:variant>
      <vt:variant>
        <vt:i4>96</vt:i4>
      </vt:variant>
      <vt:variant>
        <vt:i4>0</vt:i4>
      </vt:variant>
      <vt:variant>
        <vt:i4>5</vt:i4>
      </vt:variant>
      <vt:variant>
        <vt:lpwstr>https://i.exeter.ac.uk/campusm/home</vt:lpwstr>
      </vt:variant>
      <vt:variant>
        <vt:lpwstr>login/207/188</vt:lpwstr>
      </vt:variant>
      <vt:variant>
        <vt:i4>7274616</vt:i4>
      </vt:variant>
      <vt:variant>
        <vt:i4>93</vt:i4>
      </vt:variant>
      <vt:variant>
        <vt:i4>0</vt:i4>
      </vt:variant>
      <vt:variant>
        <vt:i4>5</vt:i4>
      </vt:variant>
      <vt:variant>
        <vt:lpwstr>https://as.exeter.ac.uk/academic-policy-standards/tqa-manual/pgr/9-upgradefrommphiltodoctoralstudy/</vt:lpwstr>
      </vt:variant>
      <vt:variant>
        <vt:lpwstr>Annex-1-Applications-for-deferral</vt:lpwstr>
      </vt:variant>
      <vt:variant>
        <vt:i4>5963793</vt:i4>
      </vt:variant>
      <vt:variant>
        <vt:i4>90</vt:i4>
      </vt:variant>
      <vt:variant>
        <vt:i4>0</vt:i4>
      </vt:variant>
      <vt:variant>
        <vt:i4>5</vt:i4>
      </vt:variant>
      <vt:variant>
        <vt:lpwstr>https://as.exeter.ac.uk/academic-policy-standards/tqa-manual/lts/ilp/</vt:lpwstr>
      </vt:variant>
      <vt:variant>
        <vt:lpwstr>pgres</vt:lpwstr>
      </vt:variant>
      <vt:variant>
        <vt:i4>80</vt:i4>
      </vt:variant>
      <vt:variant>
        <vt:i4>87</vt:i4>
      </vt:variant>
      <vt:variant>
        <vt:i4>0</vt:i4>
      </vt:variant>
      <vt:variant>
        <vt:i4>5</vt:i4>
      </vt:variant>
      <vt:variant>
        <vt:lpwstr>https://as.exeter.ac.uk/academic-policy-standards/tqa-manual/pgr/9-upgradefrommphiltodoctoralstudy/</vt:lpwstr>
      </vt:variant>
      <vt:variant>
        <vt:lpwstr>purpose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_Toc460566080</vt:lpwstr>
      </vt:variant>
      <vt:variant>
        <vt:i4>2949127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_Toc1341553845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_Toc379877645</vt:lpwstr>
      </vt:variant>
      <vt:variant>
        <vt:i4>3014656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_Toc1277486145</vt:lpwstr>
      </vt:variant>
      <vt:variant>
        <vt:i4>3014657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_Toc1546435158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_Toc555302108</vt:lpwstr>
      </vt:variant>
      <vt:variant>
        <vt:i4>2293769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_Toc1468769709</vt:lpwstr>
      </vt:variant>
      <vt:variant>
        <vt:i4>3014663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_Toc1346450861</vt:lpwstr>
      </vt:variant>
      <vt:variant>
        <vt:i4>2752522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_Toc1883979130</vt:lpwstr>
      </vt:variant>
      <vt:variant>
        <vt:i4>2949121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_Toc1403167962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_Toc998000235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_Toc643821832</vt:lpwstr>
      </vt:variant>
      <vt:variant>
        <vt:i4>2359303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_Toc1620673715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_Toc442901329</vt:lpwstr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http://as.exeter.ac.uk/academic-policy-standards/tqa-manual/pgr/9-upgradefrommphiltodoctoralstudy/</vt:lpwstr>
      </vt:variant>
      <vt:variant>
        <vt:lpwstr>outcomes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Ellacott, Kate</dc:creator>
  <cp:keywords/>
  <dc:description/>
  <cp:lastModifiedBy>Kate Ellacott</cp:lastModifiedBy>
  <cp:revision>56</cp:revision>
  <dcterms:created xsi:type="dcterms:W3CDTF">2023-07-24T10:55:00Z</dcterms:created>
  <dcterms:modified xsi:type="dcterms:W3CDTF">2023-07-24T13:28:00Z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0x010100584DC7C23BB5CB41B944355ACB1100D1</vt:lpwstr>
  </property>
</Properties>
</file>